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89" w:rsidRDefault="00224E89" w:rsidP="00B66B4C">
      <w:pPr>
        <w:pStyle w:val="1"/>
        <w:ind w:left="241" w:hanging="241"/>
        <w:jc w:val="center"/>
        <w:rPr>
          <w:b/>
        </w:rPr>
      </w:pPr>
      <w:r w:rsidRPr="00B66B4C">
        <w:rPr>
          <w:rFonts w:hint="eastAsia"/>
          <w:b/>
        </w:rPr>
        <w:t>「ソーシャルゲームと競争秩序」補遺</w:t>
      </w:r>
    </w:p>
    <w:p w:rsidR="00B66B4C" w:rsidRDefault="00B66B4C" w:rsidP="00B66B4C">
      <w:pPr>
        <w:ind w:left="210" w:hanging="210"/>
      </w:pPr>
    </w:p>
    <w:p w:rsidR="00B66B4C" w:rsidRPr="00B66B4C" w:rsidRDefault="00B66B4C" w:rsidP="00B66B4C">
      <w:pPr>
        <w:ind w:left="210" w:hanging="210"/>
        <w:jc w:val="right"/>
      </w:pPr>
      <w:r>
        <w:rPr>
          <w:rFonts w:hint="eastAsia"/>
        </w:rPr>
        <w:t>2013</w:t>
      </w:r>
      <w:r>
        <w:rPr>
          <w:rFonts w:hint="eastAsia"/>
        </w:rPr>
        <w:t>年</w:t>
      </w:r>
      <w:r>
        <w:rPr>
          <w:rFonts w:hint="eastAsia"/>
        </w:rPr>
        <w:t>9</w:t>
      </w:r>
      <w:r>
        <w:rPr>
          <w:rFonts w:hint="eastAsia"/>
        </w:rPr>
        <w:t>月</w:t>
      </w:r>
      <w:r>
        <w:rPr>
          <w:rFonts w:hint="eastAsia"/>
        </w:rPr>
        <w:t>29</w:t>
      </w:r>
      <w:r>
        <w:rPr>
          <w:rFonts w:hint="eastAsia"/>
        </w:rPr>
        <w:t>日記</w:t>
      </w:r>
    </w:p>
    <w:p w:rsidR="00224E89" w:rsidRPr="00B2077F" w:rsidRDefault="00224E89" w:rsidP="00A57317">
      <w:pPr>
        <w:ind w:left="0" w:firstLineChars="0" w:firstLine="0"/>
        <w:rPr>
          <w:sz w:val="24"/>
          <w:szCs w:val="24"/>
        </w:rPr>
      </w:pPr>
      <w:r w:rsidRPr="00B2077F">
        <w:rPr>
          <w:rFonts w:hint="eastAsia"/>
          <w:sz w:val="24"/>
          <w:szCs w:val="24"/>
        </w:rPr>
        <w:t xml:space="preserve">　</w:t>
      </w:r>
    </w:p>
    <w:p w:rsidR="00224E89" w:rsidRPr="00B2077F" w:rsidRDefault="00224E89" w:rsidP="00A57317">
      <w:pPr>
        <w:ind w:left="0" w:firstLineChars="0" w:firstLine="0"/>
        <w:rPr>
          <w:sz w:val="24"/>
          <w:szCs w:val="24"/>
        </w:rPr>
      </w:pPr>
      <w:r w:rsidRPr="00B2077F">
        <w:rPr>
          <w:rFonts w:hint="eastAsia"/>
          <w:sz w:val="24"/>
          <w:szCs w:val="24"/>
        </w:rPr>
        <w:t xml:space="preserve">　本小論は、下記の拙稿において書き込めなかった点などを補足するものである。</w:t>
      </w:r>
    </w:p>
    <w:p w:rsidR="00B2077F" w:rsidRDefault="000A65B1" w:rsidP="00A57317">
      <w:pPr>
        <w:ind w:left="0" w:firstLineChars="0" w:firstLine="0"/>
        <w:rPr>
          <w:sz w:val="24"/>
          <w:szCs w:val="24"/>
        </w:rPr>
      </w:pPr>
      <w:r w:rsidRPr="00B2077F">
        <w:rPr>
          <w:rFonts w:hint="eastAsia"/>
          <w:sz w:val="24"/>
          <w:szCs w:val="24"/>
        </w:rPr>
        <w:t>「ソーシャルゲームと競争秩序</w:t>
      </w:r>
      <w:r w:rsidRPr="00B2077F">
        <w:rPr>
          <w:rFonts w:hint="eastAsia"/>
          <w:sz w:val="24"/>
          <w:szCs w:val="24"/>
        </w:rPr>
        <w:t>----</w:t>
      </w:r>
      <w:r w:rsidRPr="00B2077F">
        <w:rPr>
          <w:rFonts w:hint="eastAsia"/>
          <w:sz w:val="24"/>
          <w:szCs w:val="24"/>
        </w:rPr>
        <w:t>グリー対</w:t>
      </w:r>
      <w:proofErr w:type="spellStart"/>
      <w:r w:rsidRPr="00B2077F">
        <w:rPr>
          <w:rFonts w:hint="eastAsia"/>
          <w:sz w:val="24"/>
          <w:szCs w:val="24"/>
        </w:rPr>
        <w:t>DeNA</w:t>
      </w:r>
      <w:proofErr w:type="spellEnd"/>
      <w:r w:rsidRPr="00B2077F">
        <w:rPr>
          <w:rFonts w:hint="eastAsia"/>
          <w:sz w:val="24"/>
          <w:szCs w:val="24"/>
        </w:rPr>
        <w:t>損害賠償請求事件を素材として」法律時報</w:t>
      </w:r>
      <w:r w:rsidRPr="00B2077F">
        <w:rPr>
          <w:rFonts w:hint="eastAsia"/>
          <w:sz w:val="24"/>
          <w:szCs w:val="24"/>
        </w:rPr>
        <w:t>85</w:t>
      </w:r>
      <w:r w:rsidRPr="00B2077F">
        <w:rPr>
          <w:rFonts w:hint="eastAsia"/>
          <w:sz w:val="24"/>
          <w:szCs w:val="24"/>
        </w:rPr>
        <w:t>巻</w:t>
      </w:r>
      <w:r w:rsidRPr="00B2077F">
        <w:rPr>
          <w:rFonts w:hint="eastAsia"/>
          <w:sz w:val="24"/>
          <w:szCs w:val="24"/>
        </w:rPr>
        <w:t>11</w:t>
      </w:r>
      <w:r w:rsidRPr="00B2077F">
        <w:rPr>
          <w:rFonts w:hint="eastAsia"/>
          <w:sz w:val="24"/>
          <w:szCs w:val="24"/>
        </w:rPr>
        <w:t>号</w:t>
      </w:r>
      <w:r w:rsidRPr="00B2077F">
        <w:rPr>
          <w:rFonts w:hint="eastAsia"/>
          <w:sz w:val="24"/>
          <w:szCs w:val="24"/>
        </w:rPr>
        <w:t>78</w:t>
      </w:r>
      <w:r w:rsidRPr="00B2077F">
        <w:rPr>
          <w:rFonts w:hint="eastAsia"/>
          <w:sz w:val="24"/>
          <w:szCs w:val="24"/>
        </w:rPr>
        <w:t>頁以下（</w:t>
      </w:r>
      <w:r w:rsidRPr="00B2077F">
        <w:rPr>
          <w:rFonts w:hint="eastAsia"/>
          <w:sz w:val="24"/>
          <w:szCs w:val="24"/>
        </w:rPr>
        <w:t>2013</w:t>
      </w:r>
      <w:r w:rsidRPr="00B2077F">
        <w:rPr>
          <w:rFonts w:hint="eastAsia"/>
          <w:sz w:val="24"/>
          <w:szCs w:val="24"/>
        </w:rPr>
        <w:t>年）</w:t>
      </w:r>
      <w:r w:rsidR="00224E89" w:rsidRPr="00B2077F">
        <w:rPr>
          <w:rFonts w:hint="eastAsia"/>
          <w:sz w:val="24"/>
          <w:szCs w:val="24"/>
        </w:rPr>
        <w:t>。</w:t>
      </w:r>
    </w:p>
    <w:p w:rsidR="000A65B1" w:rsidRPr="00B2077F" w:rsidRDefault="00224E89" w:rsidP="00B2077F">
      <w:pPr>
        <w:ind w:left="0" w:firstLineChars="100" w:firstLine="240"/>
        <w:rPr>
          <w:sz w:val="24"/>
          <w:szCs w:val="24"/>
        </w:rPr>
      </w:pPr>
      <w:r w:rsidRPr="00B2077F">
        <w:rPr>
          <w:rFonts w:hint="eastAsia"/>
          <w:sz w:val="24"/>
          <w:szCs w:val="24"/>
        </w:rPr>
        <w:t>以下</w:t>
      </w:r>
      <w:r w:rsidR="00B2077F">
        <w:rPr>
          <w:rFonts w:hint="eastAsia"/>
          <w:sz w:val="24"/>
          <w:szCs w:val="24"/>
        </w:rPr>
        <w:t>では</w:t>
      </w:r>
      <w:r w:rsidRPr="00B2077F">
        <w:rPr>
          <w:rFonts w:hint="eastAsia"/>
          <w:sz w:val="24"/>
          <w:szCs w:val="24"/>
        </w:rPr>
        <w:t>、これを「本論文」と略記する。</w:t>
      </w:r>
    </w:p>
    <w:p w:rsidR="00224E89" w:rsidRPr="00A57317" w:rsidRDefault="00224E89" w:rsidP="00A57317">
      <w:pPr>
        <w:ind w:left="0" w:firstLineChars="0" w:firstLine="0"/>
      </w:pPr>
    </w:p>
    <w:p w:rsidR="00224E89" w:rsidRPr="00A8338B" w:rsidRDefault="00224E89" w:rsidP="00A8338B">
      <w:pPr>
        <w:pStyle w:val="1"/>
        <w:ind w:left="241" w:hanging="241"/>
        <w:rPr>
          <w:b/>
        </w:rPr>
      </w:pPr>
      <w:r w:rsidRPr="00A8338B">
        <w:rPr>
          <w:rFonts w:hint="eastAsia"/>
          <w:b/>
        </w:rPr>
        <w:t>１．電気通信・放送におけるプラットフォーム（</w:t>
      </w:r>
      <w:r w:rsidRPr="00A8338B">
        <w:rPr>
          <w:rFonts w:hint="eastAsia"/>
          <w:b/>
        </w:rPr>
        <w:t>PF</w:t>
      </w:r>
      <w:r w:rsidRPr="00A8338B">
        <w:rPr>
          <w:rFonts w:hint="eastAsia"/>
          <w:b/>
        </w:rPr>
        <w:t>）</w:t>
      </w:r>
    </w:p>
    <w:p w:rsidR="00224E89" w:rsidRPr="00B2077F" w:rsidRDefault="00A57317" w:rsidP="00A57317">
      <w:pPr>
        <w:ind w:left="0" w:firstLineChars="0" w:firstLine="0"/>
        <w:rPr>
          <w:sz w:val="24"/>
          <w:szCs w:val="24"/>
        </w:rPr>
      </w:pPr>
      <w:r w:rsidRPr="00B2077F">
        <w:rPr>
          <w:rFonts w:hint="eastAsia"/>
          <w:sz w:val="24"/>
          <w:szCs w:val="24"/>
        </w:rPr>
        <w:t>（１）</w:t>
      </w:r>
      <w:r w:rsidR="00224E89" w:rsidRPr="00B2077F">
        <w:rPr>
          <w:rFonts w:hint="eastAsia"/>
          <w:sz w:val="24"/>
          <w:szCs w:val="24"/>
        </w:rPr>
        <w:t>本論文では、ドコモの</w:t>
      </w:r>
      <w:proofErr w:type="spellStart"/>
      <w:r w:rsidR="00224E89" w:rsidRPr="00B2077F">
        <w:rPr>
          <w:rFonts w:hint="eastAsia"/>
          <w:sz w:val="24"/>
          <w:szCs w:val="24"/>
        </w:rPr>
        <w:t>i</w:t>
      </w:r>
      <w:proofErr w:type="spellEnd"/>
      <w:r w:rsidR="00224E89" w:rsidRPr="00B2077F">
        <w:rPr>
          <w:rFonts w:hint="eastAsia"/>
          <w:sz w:val="24"/>
          <w:szCs w:val="24"/>
        </w:rPr>
        <w:t>モードをめぐる議論に触れた。これ以降、電気通信において、</w:t>
      </w:r>
      <w:r w:rsidR="00224E89" w:rsidRPr="00B2077F">
        <w:rPr>
          <w:rFonts w:hint="eastAsia"/>
          <w:sz w:val="24"/>
          <w:szCs w:val="24"/>
        </w:rPr>
        <w:t>PF</w:t>
      </w:r>
      <w:r w:rsidR="00224E89" w:rsidRPr="00B2077F">
        <w:rPr>
          <w:rFonts w:hint="eastAsia"/>
          <w:sz w:val="24"/>
          <w:szCs w:val="24"/>
        </w:rPr>
        <w:t>がしばしば議論の俎上にのぼることになる。</w:t>
      </w:r>
    </w:p>
    <w:p w:rsidR="00224E89" w:rsidRPr="00B2077F" w:rsidRDefault="00A57317" w:rsidP="00B2077F">
      <w:pPr>
        <w:ind w:left="0" w:firstLineChars="100" w:firstLine="240"/>
        <w:rPr>
          <w:sz w:val="24"/>
          <w:szCs w:val="24"/>
        </w:rPr>
      </w:pPr>
      <w:r w:rsidRPr="00B2077F">
        <w:rPr>
          <w:rFonts w:hint="eastAsia"/>
          <w:sz w:val="24"/>
          <w:szCs w:val="24"/>
        </w:rPr>
        <w:t>本論文の注</w:t>
      </w:r>
      <w:r w:rsidRPr="00B2077F">
        <w:rPr>
          <w:rFonts w:hint="eastAsia"/>
          <w:sz w:val="24"/>
          <w:szCs w:val="24"/>
        </w:rPr>
        <w:t>1</w:t>
      </w:r>
      <w:r w:rsidRPr="00B2077F">
        <w:rPr>
          <w:rFonts w:hint="eastAsia"/>
          <w:sz w:val="24"/>
          <w:szCs w:val="24"/>
        </w:rPr>
        <w:t>でも挙げたえ</w:t>
      </w:r>
      <w:r w:rsidR="00224E89" w:rsidRPr="00B2077F">
        <w:rPr>
          <w:rFonts w:hint="eastAsia"/>
          <w:sz w:val="24"/>
          <w:szCs w:val="24"/>
        </w:rPr>
        <w:t>総務省「通信・放送の総合的な法体系に関する研究会」報告書（</w:t>
      </w:r>
      <w:r w:rsidR="00224E89" w:rsidRPr="00B2077F">
        <w:rPr>
          <w:rFonts w:hint="eastAsia"/>
          <w:sz w:val="24"/>
          <w:szCs w:val="24"/>
        </w:rPr>
        <w:t>2007</w:t>
      </w:r>
      <w:r w:rsidR="00224E89" w:rsidRPr="00B2077F">
        <w:rPr>
          <w:rFonts w:hint="eastAsia"/>
          <w:sz w:val="24"/>
          <w:szCs w:val="24"/>
        </w:rPr>
        <w:t>年）</w:t>
      </w:r>
      <w:r w:rsidRPr="00B2077F">
        <w:rPr>
          <w:rFonts w:hint="eastAsia"/>
          <w:sz w:val="24"/>
          <w:szCs w:val="24"/>
        </w:rPr>
        <w:t>は、電気通信分野におけるレイヤー構造において、「プラットフォームレイヤー」を明示した。その後、</w:t>
      </w:r>
      <w:r w:rsidR="00224E89" w:rsidRPr="00B2077F">
        <w:rPr>
          <w:rFonts w:hint="eastAsia"/>
          <w:sz w:val="24"/>
          <w:szCs w:val="24"/>
        </w:rPr>
        <w:t>総務省</w:t>
      </w:r>
      <w:r w:rsidRPr="00B2077F">
        <w:rPr>
          <w:rFonts w:hint="eastAsia"/>
          <w:sz w:val="24"/>
          <w:szCs w:val="24"/>
        </w:rPr>
        <w:t>・</w:t>
      </w:r>
      <w:r w:rsidR="00224E89" w:rsidRPr="00B2077F">
        <w:rPr>
          <w:rFonts w:hint="eastAsia"/>
          <w:sz w:val="24"/>
          <w:szCs w:val="24"/>
        </w:rPr>
        <w:t>通信プラットフォーム研究会「通信プラットフォームの在り方</w:t>
      </w:r>
      <w:r w:rsidRPr="00B2077F">
        <w:rPr>
          <w:rFonts w:hint="eastAsia"/>
          <w:sz w:val="24"/>
          <w:szCs w:val="24"/>
        </w:rPr>
        <w:t>」（</w:t>
      </w:r>
      <w:r w:rsidRPr="00B2077F">
        <w:rPr>
          <w:rFonts w:hint="eastAsia"/>
          <w:sz w:val="24"/>
          <w:szCs w:val="24"/>
        </w:rPr>
        <w:t>2009</w:t>
      </w:r>
      <w:r w:rsidRPr="00B2077F">
        <w:rPr>
          <w:rFonts w:hint="eastAsia"/>
          <w:sz w:val="24"/>
          <w:szCs w:val="24"/>
        </w:rPr>
        <w:t>年）は、次のように</w:t>
      </w:r>
      <w:r w:rsidRPr="00B2077F">
        <w:rPr>
          <w:rFonts w:hint="eastAsia"/>
          <w:sz w:val="24"/>
          <w:szCs w:val="24"/>
        </w:rPr>
        <w:t>PF</w:t>
      </w:r>
      <w:r w:rsidRPr="00B2077F">
        <w:rPr>
          <w:rFonts w:hint="eastAsia"/>
          <w:sz w:val="24"/>
          <w:szCs w:val="24"/>
        </w:rPr>
        <w:t>を通信に特化して、認証・課金機能に着目している。</w:t>
      </w:r>
    </w:p>
    <w:p w:rsidR="00A57317" w:rsidRPr="00B2077F" w:rsidRDefault="00A57317" w:rsidP="00B2077F">
      <w:pPr>
        <w:ind w:left="0" w:firstLineChars="100" w:firstLine="240"/>
        <w:rPr>
          <w:sz w:val="24"/>
          <w:szCs w:val="24"/>
        </w:rPr>
      </w:pPr>
      <w:r w:rsidRPr="00B2077F">
        <w:rPr>
          <w:rFonts w:hint="eastAsia"/>
          <w:sz w:val="24"/>
          <w:szCs w:val="24"/>
        </w:rPr>
        <w:t>「プラットフォームはあくまで通信レイヤー上でコンテンツ・アプリケーションを円滑に流通させる機能であり、その代表的な例として認証・課金機能が挙げられる。」</w:t>
      </w:r>
    </w:p>
    <w:p w:rsidR="00A57317" w:rsidRPr="00B66B4C" w:rsidRDefault="00B66B4C" w:rsidP="00B66B4C">
      <w:pPr>
        <w:ind w:left="0" w:firstLineChars="100" w:firstLine="210"/>
        <w:rPr>
          <w:szCs w:val="21"/>
        </w:rPr>
      </w:pPr>
      <w:r w:rsidRPr="00B66B4C">
        <w:rPr>
          <w:rFonts w:hint="eastAsia"/>
          <w:szCs w:val="21"/>
        </w:rPr>
        <w:t>＊</w:t>
      </w:r>
      <w:r w:rsidR="00A57317" w:rsidRPr="00B66B4C">
        <w:rPr>
          <w:rFonts w:hint="eastAsia"/>
          <w:szCs w:val="21"/>
        </w:rPr>
        <w:t>参照、</w:t>
      </w:r>
      <w:hyperlink r:id="rId9" w:history="1">
        <w:r w:rsidRPr="00B66B4C">
          <w:rPr>
            <w:rStyle w:val="af"/>
            <w:color w:val="auto"/>
            <w:szCs w:val="21"/>
            <w:u w:val="none"/>
          </w:rPr>
          <w:t>http://www.soumu.go.jp/menu_news/s-news/2009/pdf/090130_3_bt_1.pdf</w:t>
        </w:r>
      </w:hyperlink>
    </w:p>
    <w:p w:rsidR="00B66B4C" w:rsidRPr="00B2077F" w:rsidDel="007E6ADB" w:rsidRDefault="00B66B4C" w:rsidP="00B2077F">
      <w:pPr>
        <w:ind w:left="0" w:firstLineChars="100" w:firstLine="240"/>
        <w:rPr>
          <w:sz w:val="24"/>
          <w:szCs w:val="24"/>
        </w:rPr>
      </w:pPr>
    </w:p>
    <w:p w:rsidR="00A57317" w:rsidRPr="00B2077F" w:rsidRDefault="00A57317" w:rsidP="00A57317">
      <w:pPr>
        <w:ind w:left="0" w:firstLineChars="0" w:firstLine="0"/>
        <w:rPr>
          <w:sz w:val="24"/>
          <w:szCs w:val="24"/>
        </w:rPr>
      </w:pPr>
      <w:r w:rsidRPr="00B2077F">
        <w:rPr>
          <w:rFonts w:hint="eastAsia"/>
          <w:sz w:val="24"/>
          <w:szCs w:val="24"/>
        </w:rPr>
        <w:t>（２）</w:t>
      </w:r>
      <w:r w:rsidRPr="00B2077F">
        <w:rPr>
          <w:rFonts w:hint="eastAsia"/>
          <w:sz w:val="24"/>
          <w:szCs w:val="24"/>
        </w:rPr>
        <w:t>PF</w:t>
      </w:r>
      <w:r w:rsidRPr="00B2077F">
        <w:rPr>
          <w:rFonts w:hint="eastAsia"/>
          <w:sz w:val="24"/>
          <w:szCs w:val="24"/>
        </w:rPr>
        <w:t>についての唯一の立法例として、放送法</w:t>
      </w:r>
      <w:r w:rsidRPr="00B2077F">
        <w:rPr>
          <w:rFonts w:hint="eastAsia"/>
          <w:sz w:val="24"/>
          <w:szCs w:val="24"/>
        </w:rPr>
        <w:t>152</w:t>
      </w:r>
      <w:r w:rsidRPr="00B2077F">
        <w:rPr>
          <w:rFonts w:hint="eastAsia"/>
          <w:sz w:val="24"/>
          <w:szCs w:val="24"/>
        </w:rPr>
        <w:t>条の「有料放送管理業務」を挙げることができる。</w:t>
      </w:r>
    </w:p>
    <w:p w:rsidR="00A8338B" w:rsidRPr="00B2077F" w:rsidRDefault="00A57317" w:rsidP="00A57317">
      <w:pPr>
        <w:ind w:left="0" w:firstLineChars="0" w:firstLine="0"/>
        <w:rPr>
          <w:rFonts w:ascii="ＭＳ 明朝" w:hAnsi="ＭＳ 明朝"/>
          <w:sz w:val="24"/>
          <w:szCs w:val="24"/>
        </w:rPr>
      </w:pPr>
      <w:r w:rsidRPr="00B2077F">
        <w:rPr>
          <w:rFonts w:hint="eastAsia"/>
          <w:sz w:val="24"/>
          <w:szCs w:val="24"/>
        </w:rPr>
        <w:t xml:space="preserve">　これは</w:t>
      </w:r>
      <w:r w:rsidR="00A8338B" w:rsidRPr="00B2077F">
        <w:rPr>
          <w:rFonts w:hint="eastAsia"/>
          <w:sz w:val="24"/>
          <w:szCs w:val="24"/>
        </w:rPr>
        <w:t>、</w:t>
      </w:r>
      <w:r w:rsidR="00A8338B" w:rsidRPr="00B2077F">
        <w:rPr>
          <w:rFonts w:ascii="ＭＳ 明朝" w:hAnsi="ＭＳ 明朝" w:hint="eastAsia"/>
          <w:sz w:val="24"/>
          <w:szCs w:val="24"/>
        </w:rPr>
        <w:t>2007年（平成19年）の放送法改正によって創設されたものであり、</w:t>
      </w:r>
      <w:r w:rsidRPr="00B2077F">
        <w:rPr>
          <w:rFonts w:hint="eastAsia"/>
          <w:sz w:val="24"/>
          <w:szCs w:val="24"/>
        </w:rPr>
        <w:t>エンド・ユーザー保護というより、</w:t>
      </w:r>
      <w:r w:rsidR="00A8338B" w:rsidRPr="00B2077F">
        <w:rPr>
          <w:rFonts w:ascii="ＭＳ 明朝" w:hAnsi="ＭＳ 明朝" w:hint="eastAsia"/>
          <w:sz w:val="24"/>
          <w:szCs w:val="24"/>
        </w:rPr>
        <w:t>委託放送事業者に対し優越的地位にあるプラットフォーム事業者の業務の公正性、中立性、透明性等を確保するための規律が必要であるとの観点から規定されたものである。</w:t>
      </w:r>
    </w:p>
    <w:p w:rsidR="00A8338B" w:rsidRPr="00B66B4C" w:rsidRDefault="00A8338B" w:rsidP="00A57317">
      <w:pPr>
        <w:ind w:left="0" w:firstLineChars="0" w:firstLine="0"/>
        <w:rPr>
          <w:rFonts w:ascii="ＭＳ 明朝" w:hAnsi="ＭＳ 明朝"/>
          <w:szCs w:val="21"/>
        </w:rPr>
      </w:pPr>
      <w:r w:rsidRPr="00B66B4C">
        <w:rPr>
          <w:rFonts w:ascii="ＭＳ 明朝" w:hAnsi="ＭＳ 明朝" w:hint="eastAsia"/>
          <w:szCs w:val="21"/>
        </w:rPr>
        <w:t xml:space="preserve">　</w:t>
      </w:r>
      <w:r w:rsidR="00B66B4C" w:rsidRPr="00B66B4C">
        <w:rPr>
          <w:rFonts w:ascii="ＭＳ 明朝" w:hAnsi="ＭＳ 明朝" w:hint="eastAsia"/>
          <w:szCs w:val="21"/>
        </w:rPr>
        <w:t>＊</w:t>
      </w:r>
      <w:r w:rsidRPr="00B66B4C">
        <w:rPr>
          <w:rFonts w:ascii="ＭＳ 明朝" w:hAnsi="ＭＳ 明朝" w:hint="eastAsia"/>
          <w:szCs w:val="21"/>
        </w:rPr>
        <w:t>参照、舟田</w:t>
      </w:r>
      <w:r w:rsidRPr="00B66B4C">
        <w:rPr>
          <w:rFonts w:hint="eastAsia"/>
          <w:szCs w:val="21"/>
        </w:rPr>
        <w:t>『放送制度と競争秩序』（有斐閣、</w:t>
      </w:r>
      <w:r w:rsidRPr="00B66B4C">
        <w:rPr>
          <w:rFonts w:hint="eastAsia"/>
          <w:szCs w:val="21"/>
        </w:rPr>
        <w:t>2011</w:t>
      </w:r>
      <w:r w:rsidRPr="00B66B4C">
        <w:rPr>
          <w:rFonts w:hint="eastAsia"/>
          <w:szCs w:val="21"/>
        </w:rPr>
        <w:t>年）</w:t>
      </w:r>
      <w:r w:rsidRPr="00B66B4C">
        <w:rPr>
          <w:rFonts w:hint="eastAsia"/>
          <w:szCs w:val="21"/>
        </w:rPr>
        <w:t>12</w:t>
      </w:r>
      <w:r w:rsidRPr="00B66B4C">
        <w:rPr>
          <w:rFonts w:hint="eastAsia"/>
          <w:szCs w:val="21"/>
        </w:rPr>
        <w:t>頁等を参照。</w:t>
      </w:r>
    </w:p>
    <w:p w:rsidR="00A8338B" w:rsidRDefault="00A8338B" w:rsidP="00A57317">
      <w:pPr>
        <w:ind w:left="0" w:firstLineChars="0" w:firstLine="0"/>
        <w:rPr>
          <w:rFonts w:ascii="ＭＳ 明朝" w:hAnsi="ＭＳ 明朝"/>
          <w:szCs w:val="24"/>
        </w:rPr>
      </w:pPr>
    </w:p>
    <w:p w:rsidR="00A8338B" w:rsidRPr="00B2077F" w:rsidRDefault="00A8338B" w:rsidP="00B2077F">
      <w:pPr>
        <w:pStyle w:val="1"/>
        <w:ind w:left="241" w:hanging="241"/>
        <w:rPr>
          <w:b/>
        </w:rPr>
      </w:pPr>
      <w:r w:rsidRPr="00B2077F">
        <w:rPr>
          <w:rFonts w:hint="eastAsia"/>
          <w:b/>
        </w:rPr>
        <w:t>２．ソーシャルゲームと</w:t>
      </w:r>
      <w:r w:rsidRPr="00B2077F">
        <w:rPr>
          <w:rFonts w:hint="eastAsia"/>
          <w:b/>
        </w:rPr>
        <w:t>PF</w:t>
      </w:r>
    </w:p>
    <w:p w:rsidR="00A8338B" w:rsidRPr="002C21F9" w:rsidRDefault="00A8338B" w:rsidP="00A8338B">
      <w:pPr>
        <w:ind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ソ</w:t>
      </w:r>
      <w:r w:rsidRPr="002C21F9">
        <w:rPr>
          <w:rFonts w:asciiTheme="minorEastAsia" w:eastAsiaTheme="minorEastAsia" w:hAnsiTheme="minorEastAsia" w:hint="eastAsia"/>
          <w:sz w:val="24"/>
          <w:szCs w:val="24"/>
        </w:rPr>
        <w:t>ーシャルネットワーキング・サービス（SNS）のPFを介して提供されるソーシャルゲームの</w:t>
      </w:r>
      <w:r w:rsidR="00B2077F">
        <w:rPr>
          <w:rFonts w:asciiTheme="minorEastAsia" w:eastAsiaTheme="minorEastAsia" w:hAnsiTheme="minorEastAsia" w:hint="eastAsia"/>
          <w:sz w:val="24"/>
          <w:szCs w:val="24"/>
        </w:rPr>
        <w:t>特徴は、ユーザー同士で一緒にゲームを楽しめるところにある。（本論文</w:t>
      </w:r>
      <w:r w:rsidRPr="002C21F9">
        <w:rPr>
          <w:rFonts w:asciiTheme="minorEastAsia" w:eastAsiaTheme="minorEastAsia" w:hAnsiTheme="minorEastAsia" w:hint="eastAsia"/>
          <w:sz w:val="24"/>
          <w:szCs w:val="24"/>
        </w:rPr>
        <w:t>の図において、商品販売を行う専売店制との違いに注目）</w:t>
      </w:r>
      <w:r>
        <w:rPr>
          <w:rFonts w:asciiTheme="minorEastAsia" w:eastAsiaTheme="minorEastAsia" w:hAnsiTheme="minorEastAsia" w:hint="eastAsia"/>
          <w:sz w:val="24"/>
          <w:szCs w:val="24"/>
        </w:rPr>
        <w:t>。</w:t>
      </w:r>
      <w:r w:rsidRPr="002C21F9">
        <w:rPr>
          <w:rFonts w:asciiTheme="minorEastAsia" w:eastAsiaTheme="minorEastAsia" w:hAnsiTheme="minorEastAsia" w:hint="eastAsia"/>
          <w:sz w:val="24"/>
          <w:szCs w:val="24"/>
        </w:rPr>
        <w:t>したがって、本件行為は、PFによるユーザーの囲い込みが有効に機能する点で特徴的である。</w:t>
      </w:r>
    </w:p>
    <w:p w:rsidR="00A8338B" w:rsidRPr="00A8338B" w:rsidRDefault="00A8338B" w:rsidP="00A8338B">
      <w:pPr>
        <w:ind w:left="0" w:firstLineChars="100" w:firstLine="240"/>
        <w:rPr>
          <w:rFonts w:asciiTheme="minorEastAsia" w:eastAsiaTheme="minorEastAsia" w:hAnsiTheme="minorEastAsia"/>
          <w:sz w:val="24"/>
          <w:szCs w:val="24"/>
        </w:rPr>
      </w:pPr>
      <w:r w:rsidRPr="002C21F9">
        <w:rPr>
          <w:rFonts w:asciiTheme="minorEastAsia" w:eastAsiaTheme="minorEastAsia" w:hAnsiTheme="minorEastAsia" w:hint="eastAsia"/>
          <w:sz w:val="24"/>
          <w:szCs w:val="24"/>
        </w:rPr>
        <w:t>このことを具体的に述べれば、ユーザーが1つのPFの中で遊べば遊ぶほど、ソーシャルネットワークの特性から同じPFに登録している友人の範囲が広がり、繋がりも強くなる。また、ゲーム内のポイントが貯まり、そのポイントは他のPFでは使えないことなどの要因から、</w:t>
      </w:r>
      <w:r>
        <w:rPr>
          <w:rFonts w:asciiTheme="minorEastAsia" w:eastAsiaTheme="minorEastAsia" w:hAnsiTheme="minorEastAsia" w:hint="eastAsia"/>
          <w:sz w:val="24"/>
          <w:szCs w:val="24"/>
        </w:rPr>
        <w:t>例えば、</w:t>
      </w:r>
      <w:r w:rsidRPr="002C21F9">
        <w:rPr>
          <w:rFonts w:asciiTheme="minorEastAsia" w:eastAsiaTheme="minorEastAsia" w:hAnsiTheme="minorEastAsia" w:hint="eastAsia"/>
          <w:sz w:val="24"/>
          <w:szCs w:val="24"/>
        </w:rPr>
        <w:t>あるグリーのユーザーは、</w:t>
      </w:r>
      <w:proofErr w:type="spellStart"/>
      <w:r>
        <w:rPr>
          <w:rFonts w:asciiTheme="minorEastAsia" w:eastAsiaTheme="minorEastAsia" w:hAnsiTheme="minorEastAsia" w:hint="eastAsia"/>
          <w:sz w:val="24"/>
          <w:szCs w:val="24"/>
        </w:rPr>
        <w:t>DeNA</w:t>
      </w:r>
      <w:proofErr w:type="spellEnd"/>
      <w:r w:rsidRPr="002C21F9">
        <w:rPr>
          <w:rFonts w:asciiTheme="minorEastAsia" w:eastAsiaTheme="minorEastAsia" w:hAnsiTheme="minorEastAsia" w:hint="eastAsia"/>
          <w:sz w:val="24"/>
          <w:szCs w:val="24"/>
        </w:rPr>
        <w:t>に慣れている</w:t>
      </w:r>
      <w:r>
        <w:rPr>
          <w:rFonts w:asciiTheme="minorEastAsia" w:eastAsiaTheme="minorEastAsia" w:hAnsiTheme="minorEastAsia" w:hint="eastAsia"/>
          <w:sz w:val="24"/>
          <w:szCs w:val="24"/>
        </w:rPr>
        <w:t>ヘビー・ユ</w:t>
      </w:r>
      <w:r w:rsidRPr="002C21F9">
        <w:rPr>
          <w:rFonts w:asciiTheme="minorEastAsia" w:eastAsiaTheme="minorEastAsia" w:hAnsiTheme="minorEastAsia" w:hint="eastAsia"/>
          <w:sz w:val="24"/>
          <w:szCs w:val="24"/>
        </w:rPr>
        <w:t>ーザーを誘う</w:t>
      </w:r>
      <w:r>
        <w:rPr>
          <w:rFonts w:asciiTheme="minorEastAsia" w:eastAsiaTheme="minorEastAsia" w:hAnsiTheme="minorEastAsia" w:hint="eastAsia"/>
          <w:sz w:val="24"/>
          <w:szCs w:val="24"/>
        </w:rPr>
        <w:t>ことは難しい</w:t>
      </w:r>
      <w:r w:rsidRPr="002C21F9">
        <w:rPr>
          <w:rFonts w:asciiTheme="minorEastAsia" w:eastAsiaTheme="minorEastAsia" w:hAnsiTheme="minorEastAsia" w:hint="eastAsia"/>
          <w:sz w:val="24"/>
          <w:szCs w:val="24"/>
        </w:rPr>
        <w:t>。</w:t>
      </w:r>
    </w:p>
    <w:p w:rsidR="00A8338B" w:rsidRPr="002C21F9" w:rsidRDefault="00A8338B" w:rsidP="00A8338B">
      <w:pPr>
        <w:ind w:left="0" w:firstLineChars="100" w:firstLine="240"/>
        <w:rPr>
          <w:rFonts w:asciiTheme="minorEastAsia" w:eastAsiaTheme="minorEastAsia" w:hAnsiTheme="minorEastAsia"/>
          <w:sz w:val="24"/>
          <w:szCs w:val="24"/>
        </w:rPr>
      </w:pPr>
      <w:r w:rsidRPr="002C21F9">
        <w:rPr>
          <w:rFonts w:asciiTheme="minorEastAsia" w:eastAsiaTheme="minorEastAsia" w:hAnsiTheme="minorEastAsia" w:hint="eastAsia"/>
          <w:sz w:val="24"/>
          <w:szCs w:val="24"/>
        </w:rPr>
        <w:t>これをグリーからみれば、</w:t>
      </w:r>
      <w:r w:rsidRPr="002C21F9">
        <w:rPr>
          <w:rFonts w:asciiTheme="minorEastAsia" w:eastAsiaTheme="minorEastAsia" w:hAnsiTheme="minorEastAsia"/>
          <w:sz w:val="24"/>
          <w:szCs w:val="24"/>
        </w:rPr>
        <w:t>GREE</w:t>
      </w:r>
      <w:r w:rsidRPr="002C21F9">
        <w:rPr>
          <w:rFonts w:asciiTheme="minorEastAsia" w:eastAsiaTheme="minorEastAsia" w:hAnsiTheme="minorEastAsia" w:hint="eastAsia"/>
          <w:sz w:val="24"/>
          <w:szCs w:val="24"/>
        </w:rPr>
        <w:t>から入るユーザーは、容易にモバゲータウンに移ることなく、</w:t>
      </w:r>
      <w:r w:rsidRPr="002C21F9">
        <w:rPr>
          <w:rFonts w:asciiTheme="minorEastAsia" w:eastAsiaTheme="minorEastAsia" w:hAnsiTheme="minorEastAsia"/>
          <w:sz w:val="24"/>
          <w:szCs w:val="24"/>
        </w:rPr>
        <w:t>GREE</w:t>
      </w:r>
      <w:r w:rsidRPr="002C21F9">
        <w:rPr>
          <w:rFonts w:asciiTheme="minorEastAsia" w:eastAsiaTheme="minorEastAsia" w:hAnsiTheme="minorEastAsia" w:hint="eastAsia"/>
          <w:sz w:val="24"/>
          <w:szCs w:val="24"/>
        </w:rPr>
        <w:t>内でアクセスし続ける傾向があるから、グリーにとっては</w:t>
      </w:r>
      <w:r w:rsidRPr="002C21F9">
        <w:rPr>
          <w:rFonts w:asciiTheme="minorEastAsia" w:eastAsiaTheme="minorEastAsia" w:hAnsiTheme="minorEastAsia"/>
          <w:sz w:val="24"/>
          <w:szCs w:val="24"/>
        </w:rPr>
        <w:t>GREE</w:t>
      </w:r>
      <w:r w:rsidRPr="002C21F9">
        <w:rPr>
          <w:rFonts w:asciiTheme="minorEastAsia" w:eastAsiaTheme="minorEastAsia" w:hAnsiTheme="minorEastAsia" w:hint="eastAsia"/>
          <w:sz w:val="24"/>
          <w:szCs w:val="24"/>
        </w:rPr>
        <w:t>内でゲームを充実させることが、極めて重要である。この反面、モバゲータウンで、内製またはSAP提供の多様なゲームを楽しんでいるユーザーは、モバゲータウン内のユー</w:t>
      </w:r>
      <w:r w:rsidRPr="002C21F9">
        <w:rPr>
          <w:rFonts w:asciiTheme="minorEastAsia" w:eastAsiaTheme="minorEastAsia" w:hAnsiTheme="minorEastAsia" w:hint="eastAsia"/>
          <w:sz w:val="24"/>
          <w:szCs w:val="24"/>
        </w:rPr>
        <w:lastRenderedPageBreak/>
        <w:t>ザー間のつながりがあるので、ヘビー・ユーザーほど</w:t>
      </w:r>
      <w:r w:rsidRPr="002C21F9">
        <w:rPr>
          <w:rFonts w:asciiTheme="minorEastAsia" w:eastAsiaTheme="minorEastAsia" w:hAnsiTheme="minorEastAsia"/>
          <w:sz w:val="24"/>
          <w:szCs w:val="24"/>
        </w:rPr>
        <w:t>GREE</w:t>
      </w:r>
      <w:r w:rsidRPr="002C21F9">
        <w:rPr>
          <w:rFonts w:asciiTheme="minorEastAsia" w:eastAsiaTheme="minorEastAsia" w:hAnsiTheme="minorEastAsia" w:hint="eastAsia"/>
          <w:sz w:val="24"/>
          <w:szCs w:val="24"/>
        </w:rPr>
        <w:t>に簡単に移れないということになる。</w:t>
      </w:r>
    </w:p>
    <w:p w:rsidR="00A8338B" w:rsidRDefault="00A8338B" w:rsidP="00A8338B">
      <w:pPr>
        <w:ind w:left="0" w:firstLineChars="0" w:firstLine="0"/>
        <w:rPr>
          <w:rFonts w:asciiTheme="minorEastAsia" w:eastAsiaTheme="minorEastAsia" w:hAnsiTheme="minorEastAsia"/>
          <w:sz w:val="24"/>
          <w:szCs w:val="24"/>
        </w:rPr>
      </w:pPr>
      <w:r w:rsidRPr="002C21F9">
        <w:rPr>
          <w:rFonts w:asciiTheme="minorEastAsia" w:eastAsiaTheme="minorEastAsia" w:hAnsiTheme="minorEastAsia" w:hint="eastAsia"/>
          <w:sz w:val="24"/>
          <w:szCs w:val="24"/>
        </w:rPr>
        <w:t xml:space="preserve">　このように、本件事案を、公取委の流通・取引慣行ガイドラインが、念頭においているような、メーカーによる流通業者の系列化における専売店と同列に見るのは狭すぎるのであって、本件PFの場合には、第二の市場におけるユーザーの行動様式から、本件行為のような特定SAPの囲い込みによる市場閉鎖効果がより大きいのである。</w:t>
      </w:r>
    </w:p>
    <w:p w:rsidR="00A8338B" w:rsidRPr="002C21F9" w:rsidRDefault="00A8338B" w:rsidP="00A8338B">
      <w:pPr>
        <w:ind w:left="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もっとも、これら</w:t>
      </w:r>
      <w:r w:rsidRPr="002C21F9">
        <w:rPr>
          <w:rFonts w:asciiTheme="minorEastAsia" w:eastAsiaTheme="minorEastAsia" w:hAnsiTheme="minorEastAsia" w:hint="eastAsia"/>
          <w:sz w:val="24"/>
          <w:szCs w:val="24"/>
        </w:rPr>
        <w:t>ソーシャル</w:t>
      </w:r>
      <w:r>
        <w:rPr>
          <w:rFonts w:asciiTheme="minorEastAsia" w:eastAsiaTheme="minorEastAsia" w:hAnsiTheme="minorEastAsia" w:hint="eastAsia"/>
          <w:sz w:val="24"/>
          <w:szCs w:val="24"/>
        </w:rPr>
        <w:t>ゲームのユーザーは、少額しか投資していない者が大半であり、移り気、流行や新しいものに敏感などの傾向から、上の囲い込みは、それほど長期間保つものではなく、せいぜい数ヶ月で移り変わるようにも思われ、この点も、長期的・固定的取引が多い商品販売における取引関係と異なる点かもしれない。</w:t>
      </w:r>
    </w:p>
    <w:p w:rsidR="00A8338B" w:rsidRPr="00A8338B" w:rsidRDefault="00A8338B" w:rsidP="00A8338B">
      <w:pPr>
        <w:ind w:left="0" w:firstLineChars="0" w:firstLine="0"/>
      </w:pPr>
    </w:p>
    <w:p w:rsidR="00B2077F" w:rsidRPr="00B2077F" w:rsidRDefault="00B2077F" w:rsidP="00B2077F">
      <w:pPr>
        <w:pStyle w:val="1"/>
        <w:ind w:left="241" w:hanging="241"/>
        <w:rPr>
          <w:b/>
        </w:rPr>
      </w:pPr>
      <w:r w:rsidRPr="00B2077F">
        <w:rPr>
          <w:rFonts w:hint="eastAsia"/>
          <w:b/>
        </w:rPr>
        <w:t>３．排他条件付取引における市場閉鎖効果</w:t>
      </w:r>
    </w:p>
    <w:p w:rsidR="00C45A29" w:rsidRDefault="00C45A29" w:rsidP="00286922">
      <w:pPr>
        <w:ind w:left="0" w:firstLineChars="0" w:firstLine="0"/>
      </w:pPr>
    </w:p>
    <w:p w:rsidR="00B2077F" w:rsidRPr="00B2077F" w:rsidRDefault="00B2077F" w:rsidP="00B2077F">
      <w:pPr>
        <w:ind w:left="0" w:firstLineChars="100" w:firstLine="240"/>
        <w:rPr>
          <w:sz w:val="24"/>
          <w:szCs w:val="24"/>
        </w:rPr>
      </w:pPr>
      <w:r w:rsidRPr="00B2077F">
        <w:rPr>
          <w:rFonts w:hint="eastAsia"/>
          <w:sz w:val="24"/>
          <w:szCs w:val="24"/>
        </w:rPr>
        <w:t>流通・取引慣行ガイドラインでは、排他条件付取引による競争阻害の「一応の目安」は、シェア</w:t>
      </w:r>
      <w:r w:rsidRPr="00B2077F">
        <w:rPr>
          <w:rFonts w:hint="eastAsia"/>
          <w:sz w:val="24"/>
          <w:szCs w:val="24"/>
        </w:rPr>
        <w:t>10</w:t>
      </w:r>
      <w:r w:rsidRPr="00B2077F">
        <w:rPr>
          <w:rFonts w:hint="eastAsia"/>
          <w:sz w:val="24"/>
          <w:szCs w:val="24"/>
        </w:rPr>
        <w:t>％または上位</w:t>
      </w:r>
      <w:r w:rsidRPr="00B2077F">
        <w:rPr>
          <w:rFonts w:hint="eastAsia"/>
          <w:sz w:val="24"/>
          <w:szCs w:val="24"/>
        </w:rPr>
        <w:t>3</w:t>
      </w:r>
      <w:r w:rsidRPr="00B2077F">
        <w:rPr>
          <w:rFonts w:hint="eastAsia"/>
          <w:sz w:val="24"/>
          <w:szCs w:val="24"/>
        </w:rPr>
        <w:t>位以内であるとされている（第一部第</w:t>
      </w:r>
      <w:r w:rsidRPr="00B2077F">
        <w:rPr>
          <w:rFonts w:hint="eastAsia"/>
          <w:sz w:val="24"/>
          <w:szCs w:val="24"/>
        </w:rPr>
        <w:t>4</w:t>
      </w:r>
      <w:r w:rsidRPr="00B2077F">
        <w:rPr>
          <w:rFonts w:hint="eastAsia"/>
          <w:sz w:val="24"/>
          <w:szCs w:val="24"/>
        </w:rPr>
        <w:t>の</w:t>
      </w:r>
      <w:r w:rsidRPr="00B2077F">
        <w:rPr>
          <w:rFonts w:hint="eastAsia"/>
          <w:sz w:val="24"/>
          <w:szCs w:val="24"/>
        </w:rPr>
        <w:t>2</w:t>
      </w:r>
      <w:r w:rsidRPr="00B2077F">
        <w:rPr>
          <w:rFonts w:hint="eastAsia"/>
          <w:sz w:val="24"/>
          <w:szCs w:val="24"/>
        </w:rPr>
        <w:t>、第二部第</w:t>
      </w:r>
      <w:r w:rsidRPr="00B2077F">
        <w:rPr>
          <w:rFonts w:hint="eastAsia"/>
          <w:sz w:val="24"/>
          <w:szCs w:val="24"/>
        </w:rPr>
        <w:t>2</w:t>
      </w:r>
      <w:r w:rsidRPr="00B2077F">
        <w:rPr>
          <w:rFonts w:hint="eastAsia"/>
          <w:sz w:val="24"/>
          <w:szCs w:val="24"/>
        </w:rPr>
        <w:t>の</w:t>
      </w:r>
      <w:r w:rsidRPr="00B2077F">
        <w:rPr>
          <w:rFonts w:hint="eastAsia"/>
          <w:sz w:val="24"/>
          <w:szCs w:val="24"/>
        </w:rPr>
        <w:t>2</w:t>
      </w:r>
      <w:r w:rsidRPr="00B2077F">
        <w:rPr>
          <w:rFonts w:hint="eastAsia"/>
          <w:sz w:val="24"/>
          <w:szCs w:val="24"/>
        </w:rPr>
        <w:t>）。このように低いレベルが設定されていることの理由については、以下のように考えられる。</w:t>
      </w:r>
    </w:p>
    <w:p w:rsidR="00B2077F" w:rsidRPr="00B2077F" w:rsidRDefault="00B2077F" w:rsidP="00B2077F">
      <w:pPr>
        <w:ind w:left="0" w:firstLineChars="100" w:firstLine="240"/>
        <w:rPr>
          <w:sz w:val="24"/>
          <w:szCs w:val="24"/>
        </w:rPr>
      </w:pPr>
      <w:r w:rsidRPr="00B2077F">
        <w:rPr>
          <w:rFonts w:hint="eastAsia"/>
          <w:sz w:val="24"/>
          <w:szCs w:val="24"/>
        </w:rPr>
        <w:t>排他条件付取引は、自分だけと取引せよという点で、相手方に対し強力な排他的効果を生む可能性がある（いわゆる「市場閉鎖効果」）。</w:t>
      </w:r>
    </w:p>
    <w:p w:rsidR="00B2077F" w:rsidRPr="00B2077F" w:rsidRDefault="00B2077F" w:rsidP="00B2077F">
      <w:pPr>
        <w:ind w:left="0" w:firstLineChars="100" w:firstLine="240"/>
        <w:rPr>
          <w:sz w:val="24"/>
          <w:szCs w:val="24"/>
        </w:rPr>
      </w:pPr>
      <w:r w:rsidRPr="00B2077F">
        <w:rPr>
          <w:rFonts w:hint="eastAsia"/>
          <w:sz w:val="24"/>
          <w:szCs w:val="24"/>
        </w:rPr>
        <w:t>他方で、これを受ける側は、他の事業者の商品を扱えなくなる点で、大きな打撃となるから、それなりの見返り</w:t>
      </w:r>
      <w:r w:rsidRPr="00B2077F">
        <w:rPr>
          <w:rFonts w:hint="eastAsia"/>
          <w:sz w:val="24"/>
          <w:szCs w:val="24"/>
        </w:rPr>
        <w:t>(</w:t>
      </w:r>
      <w:r w:rsidRPr="00B2077F">
        <w:rPr>
          <w:rFonts w:hint="eastAsia"/>
          <w:sz w:val="24"/>
          <w:szCs w:val="24"/>
        </w:rPr>
        <w:t>代償措置</w:t>
      </w:r>
      <w:r w:rsidRPr="00B2077F">
        <w:rPr>
          <w:rFonts w:hint="eastAsia"/>
          <w:sz w:val="24"/>
          <w:szCs w:val="24"/>
        </w:rPr>
        <w:t>)</w:t>
      </w:r>
      <w:r w:rsidRPr="00B2077F">
        <w:rPr>
          <w:rFonts w:hint="eastAsia"/>
          <w:sz w:val="24"/>
          <w:szCs w:val="24"/>
        </w:rPr>
        <w:t>が必要なはずである。そして、このように相応の見返りがある排他条件付取引は、個別企業間の「提携」などに実際によく見られることであり、排他条件付取引の多くは、</w:t>
      </w:r>
      <w:r w:rsidRPr="00B2077F">
        <w:rPr>
          <w:rFonts w:hint="eastAsia"/>
          <w:sz w:val="24"/>
          <w:szCs w:val="24"/>
        </w:rPr>
        <w:t>1</w:t>
      </w:r>
      <w:r w:rsidRPr="00B2077F">
        <w:rPr>
          <w:rFonts w:hint="eastAsia"/>
          <w:sz w:val="24"/>
          <w:szCs w:val="24"/>
        </w:rPr>
        <w:t>対</w:t>
      </w:r>
      <w:r w:rsidRPr="00B2077F">
        <w:rPr>
          <w:rFonts w:hint="eastAsia"/>
          <w:sz w:val="24"/>
          <w:szCs w:val="24"/>
        </w:rPr>
        <w:t>1</w:t>
      </w:r>
      <w:r w:rsidRPr="00B2077F">
        <w:rPr>
          <w:rFonts w:hint="eastAsia"/>
          <w:sz w:val="24"/>
          <w:szCs w:val="24"/>
        </w:rPr>
        <w:t>の個別の取引関係に限定されていることから、市場全体への影響を及ぼすことが小さく、競争の減殺の効果は持たない場合がほとんどである。</w:t>
      </w:r>
    </w:p>
    <w:p w:rsidR="00B2077F" w:rsidRPr="00B2077F" w:rsidRDefault="00B2077F" w:rsidP="00B2077F">
      <w:pPr>
        <w:ind w:left="0" w:firstLineChars="0" w:firstLine="0"/>
        <w:rPr>
          <w:sz w:val="24"/>
          <w:szCs w:val="24"/>
        </w:rPr>
      </w:pPr>
      <w:r w:rsidRPr="00B2077F">
        <w:rPr>
          <w:rFonts w:hint="eastAsia"/>
          <w:sz w:val="24"/>
          <w:szCs w:val="24"/>
        </w:rPr>
        <w:t xml:space="preserve">　しかし、同ガイドラインが設定された当時の議論を振り返れば、独禁法上問題になる典型的な排他条件付取引として念頭に置かれていたのは、全国的に強い支配力を持ったメーカーによる多数の流通業者を対象とする流通系列化と、多数の部品製造業者を対象とする生産系列化（下請系列）であった。このような場合でも、上記の見返りは、相手方に当該地域の独占的販売権、各種リベート、継続的取引の保障、各種の商品情報の提供などの形で行われるが、それらの具体的実施はメーカーの裁量に委ねられる場合が多かった。</w:t>
      </w:r>
    </w:p>
    <w:p w:rsidR="00B2077F" w:rsidRDefault="00B2077F" w:rsidP="00B2077F">
      <w:pPr>
        <w:ind w:left="0" w:firstLineChars="0" w:firstLine="0"/>
        <w:rPr>
          <w:sz w:val="24"/>
          <w:szCs w:val="24"/>
        </w:rPr>
      </w:pPr>
      <w:r w:rsidRPr="00B2077F">
        <w:rPr>
          <w:rFonts w:hint="eastAsia"/>
          <w:sz w:val="24"/>
          <w:szCs w:val="24"/>
        </w:rPr>
        <w:t xml:space="preserve">　このように有力な事業者が多数の広範な取引の相手方に対し、排他条件付取引を押しつける場合には、競争の減殺の効果を持つ可能性が強い。そのような場合を想定して、上記のシェア</w:t>
      </w:r>
      <w:r w:rsidRPr="00B2077F">
        <w:rPr>
          <w:rFonts w:hint="eastAsia"/>
          <w:sz w:val="24"/>
          <w:szCs w:val="24"/>
        </w:rPr>
        <w:t>10</w:t>
      </w:r>
      <w:r w:rsidRPr="00B2077F">
        <w:rPr>
          <w:rFonts w:hint="eastAsia"/>
          <w:sz w:val="24"/>
          <w:szCs w:val="24"/>
        </w:rPr>
        <w:t>％（または上位</w:t>
      </w:r>
      <w:r w:rsidRPr="00B2077F">
        <w:rPr>
          <w:rFonts w:hint="eastAsia"/>
          <w:sz w:val="24"/>
          <w:szCs w:val="24"/>
        </w:rPr>
        <w:t>3</w:t>
      </w:r>
      <w:r w:rsidRPr="00B2077F">
        <w:rPr>
          <w:rFonts w:hint="eastAsia"/>
          <w:sz w:val="24"/>
          <w:szCs w:val="24"/>
        </w:rPr>
        <w:t>位以内）という基準が設定されたと理解される。そして、本件行為は、全国市場で</w:t>
      </w:r>
      <w:r w:rsidRPr="00B2077F">
        <w:rPr>
          <w:rFonts w:hint="eastAsia"/>
          <w:sz w:val="24"/>
          <w:szCs w:val="24"/>
        </w:rPr>
        <w:t>2</w:t>
      </w:r>
      <w:r w:rsidRPr="00B2077F">
        <w:rPr>
          <w:rFonts w:hint="eastAsia"/>
          <w:sz w:val="24"/>
          <w:szCs w:val="24"/>
        </w:rPr>
        <w:t>社寡占市場において第一位にある事業者が排他条件付取引を強制したという事案であるから、上記の基準をはるかに上回り、強力な市場閉鎖効果をもたらすものであった。</w:t>
      </w:r>
    </w:p>
    <w:p w:rsidR="00B2077F" w:rsidRDefault="00B2077F" w:rsidP="00B2077F">
      <w:pPr>
        <w:ind w:left="0" w:firstLineChars="0" w:firstLine="0"/>
        <w:rPr>
          <w:sz w:val="24"/>
          <w:szCs w:val="24"/>
        </w:rPr>
      </w:pPr>
    </w:p>
    <w:p w:rsidR="00B2077F" w:rsidRPr="00B2077F" w:rsidRDefault="00B2077F" w:rsidP="00B2077F">
      <w:pPr>
        <w:pStyle w:val="1"/>
        <w:ind w:left="241" w:hanging="241"/>
        <w:rPr>
          <w:b/>
        </w:rPr>
      </w:pPr>
      <w:r w:rsidRPr="00B2077F">
        <w:rPr>
          <w:rFonts w:hint="eastAsia"/>
          <w:b/>
        </w:rPr>
        <w:t>４．間接の取引拒絶</w:t>
      </w:r>
    </w:p>
    <w:p w:rsidR="00B2077F" w:rsidRPr="00B2077F" w:rsidRDefault="00B2077F" w:rsidP="00B2077F">
      <w:pPr>
        <w:ind w:left="0" w:firstLineChars="0" w:firstLine="0"/>
        <w:rPr>
          <w:sz w:val="24"/>
          <w:szCs w:val="24"/>
        </w:rPr>
      </w:pPr>
    </w:p>
    <w:p w:rsidR="00B66B4C" w:rsidRDefault="00B2077F" w:rsidP="00B2077F">
      <w:pPr>
        <w:ind w:left="0" w:firstLineChars="100" w:firstLine="240"/>
        <w:rPr>
          <w:sz w:val="24"/>
          <w:szCs w:val="24"/>
        </w:rPr>
      </w:pPr>
      <w:r w:rsidRPr="00B2077F">
        <w:rPr>
          <w:rFonts w:hint="eastAsia"/>
          <w:sz w:val="24"/>
          <w:szCs w:val="24"/>
        </w:rPr>
        <w:t>間接</w:t>
      </w:r>
      <w:r>
        <w:rPr>
          <w:rFonts w:hint="eastAsia"/>
          <w:sz w:val="24"/>
          <w:szCs w:val="24"/>
        </w:rPr>
        <w:t>の取引拒絶の公正競争阻害性については、本論文で述べた</w:t>
      </w:r>
      <w:r w:rsidRPr="00B2077F">
        <w:rPr>
          <w:rFonts w:hint="eastAsia"/>
          <w:sz w:val="24"/>
          <w:szCs w:val="24"/>
        </w:rPr>
        <w:t>「競争の減殺」と並んで、「違法・不当な目的」による場合、濫用行為の場合などがあると説かれてきた。</w:t>
      </w:r>
    </w:p>
    <w:p w:rsidR="00B66B4C" w:rsidRPr="00B66B4C" w:rsidRDefault="00B66B4C" w:rsidP="00B66B4C">
      <w:pPr>
        <w:ind w:left="0" w:firstLineChars="100" w:firstLine="210"/>
      </w:pPr>
      <w:r>
        <w:rPr>
          <w:rFonts w:hint="eastAsia"/>
        </w:rPr>
        <w:t>＊</w:t>
      </w:r>
      <w:r w:rsidRPr="00B66B4C">
        <w:rPr>
          <w:rFonts w:hint="eastAsia"/>
        </w:rPr>
        <w:t>根岸＝舟田『独占禁止法概説』</w:t>
      </w:r>
      <w:r w:rsidRPr="00B66B4C">
        <w:rPr>
          <w:rFonts w:hint="eastAsia"/>
        </w:rPr>
        <w:t>218</w:t>
      </w:r>
      <w:r w:rsidRPr="00B66B4C">
        <w:rPr>
          <w:rFonts w:hint="eastAsia"/>
        </w:rPr>
        <w:t>頁以下等を参照。</w:t>
      </w:r>
    </w:p>
    <w:p w:rsidR="00B2077F" w:rsidRPr="00B2077F" w:rsidRDefault="00B2077F" w:rsidP="00B66B4C">
      <w:pPr>
        <w:ind w:left="0" w:firstLineChars="100" w:firstLine="240"/>
        <w:rPr>
          <w:sz w:val="24"/>
          <w:szCs w:val="24"/>
        </w:rPr>
      </w:pPr>
      <w:r w:rsidRPr="00B2077F">
        <w:rPr>
          <w:rFonts w:hint="eastAsia"/>
          <w:sz w:val="24"/>
          <w:szCs w:val="24"/>
        </w:rPr>
        <w:lastRenderedPageBreak/>
        <w:t>流通・取引慣行ガイドラインも、「取引先事業者の取引先選択の自由を侵害するとともに、競争者の取引の機会を減少させるおそれがあるものであり、独占禁止法上問題となる。」（第一部第</w:t>
      </w:r>
      <w:r w:rsidRPr="00B2077F">
        <w:rPr>
          <w:rFonts w:hint="eastAsia"/>
          <w:sz w:val="24"/>
          <w:szCs w:val="24"/>
        </w:rPr>
        <w:t>4</w:t>
      </w:r>
      <w:r w:rsidRPr="00B2077F">
        <w:rPr>
          <w:rFonts w:hint="eastAsia"/>
          <w:sz w:val="24"/>
          <w:szCs w:val="24"/>
        </w:rPr>
        <w:t>の</w:t>
      </w:r>
      <w:r w:rsidRPr="00B2077F">
        <w:rPr>
          <w:rFonts w:hint="eastAsia"/>
          <w:sz w:val="24"/>
          <w:szCs w:val="24"/>
        </w:rPr>
        <w:t>1</w:t>
      </w:r>
      <w:r w:rsidRPr="00B2077F">
        <w:rPr>
          <w:rFonts w:hint="eastAsia"/>
          <w:sz w:val="24"/>
          <w:szCs w:val="24"/>
        </w:rPr>
        <w:t>。下線は舟田）と述べており、この前半部分（「取引先選択の自由を侵害」）は、「競争手段の不公正さ」に対応するものである。</w:t>
      </w:r>
    </w:p>
    <w:p w:rsidR="00B2077F" w:rsidRPr="00B2077F" w:rsidRDefault="00B2077F" w:rsidP="00B2077F">
      <w:pPr>
        <w:ind w:left="0" w:firstLineChars="0" w:firstLine="0"/>
        <w:rPr>
          <w:sz w:val="24"/>
          <w:szCs w:val="24"/>
        </w:rPr>
      </w:pPr>
      <w:r w:rsidRPr="00B2077F">
        <w:rPr>
          <w:rFonts w:hint="eastAsia"/>
          <w:sz w:val="24"/>
          <w:szCs w:val="24"/>
        </w:rPr>
        <w:t xml:space="preserve">　したがって、間接拒絶の公正競争阻害性について、「競争手段の不公正さ」という観点からもみるべきであるが、これは既に取引妨</w:t>
      </w:r>
      <w:r>
        <w:rPr>
          <w:rFonts w:hint="eastAsia"/>
          <w:sz w:val="24"/>
          <w:szCs w:val="24"/>
        </w:rPr>
        <w:t>害における「競争手段の不公正さ」を検討したことと重なるので、本論文では割愛した</w:t>
      </w:r>
      <w:r w:rsidRPr="00B2077F">
        <w:rPr>
          <w:rFonts w:hint="eastAsia"/>
          <w:sz w:val="24"/>
          <w:szCs w:val="24"/>
        </w:rPr>
        <w:t>。</w:t>
      </w:r>
    </w:p>
    <w:p w:rsidR="00B2077F" w:rsidRPr="00B2077F" w:rsidRDefault="00B2077F" w:rsidP="00286922">
      <w:pPr>
        <w:ind w:left="0" w:firstLineChars="0" w:firstLine="0"/>
        <w:rPr>
          <w:sz w:val="24"/>
          <w:szCs w:val="24"/>
        </w:rPr>
      </w:pPr>
    </w:p>
    <w:p w:rsidR="00286922" w:rsidRPr="00B66B4C" w:rsidRDefault="00286922" w:rsidP="00B66B4C">
      <w:pPr>
        <w:pStyle w:val="1"/>
        <w:ind w:left="241" w:hanging="241"/>
        <w:rPr>
          <w:b/>
        </w:rPr>
      </w:pPr>
      <w:r w:rsidRPr="00B66B4C">
        <w:rPr>
          <w:rFonts w:hint="eastAsia"/>
          <w:b/>
        </w:rPr>
        <w:t>５．広義の「排他的取引」</w:t>
      </w:r>
    </w:p>
    <w:p w:rsidR="00B2077F" w:rsidRPr="00360F06" w:rsidRDefault="00B2077F" w:rsidP="00B2077F">
      <w:pPr>
        <w:ind w:left="240" w:hanging="240"/>
        <w:rPr>
          <w:sz w:val="24"/>
          <w:szCs w:val="24"/>
        </w:rPr>
      </w:pPr>
      <w:r>
        <w:rPr>
          <w:rFonts w:hint="eastAsia"/>
          <w:sz w:val="24"/>
          <w:szCs w:val="24"/>
        </w:rPr>
        <w:t>（１）本論文では、「競争の減殺」について検討した</w:t>
      </w:r>
      <w:r w:rsidRPr="00360F06">
        <w:rPr>
          <w:rFonts w:hint="eastAsia"/>
          <w:sz w:val="24"/>
          <w:szCs w:val="24"/>
        </w:rPr>
        <w:t>が、ここで本件行為は、「競争を実質的に制限」するものであって、私的独占に当たるのではないかという点にも触れておこう。</w:t>
      </w:r>
    </w:p>
    <w:p w:rsidR="00B2077F" w:rsidRPr="00360F06" w:rsidRDefault="00B2077F" w:rsidP="00B2077F">
      <w:pPr>
        <w:ind w:left="113" w:firstLineChars="100" w:firstLine="240"/>
        <w:rPr>
          <w:sz w:val="24"/>
          <w:szCs w:val="24"/>
        </w:rPr>
      </w:pPr>
      <w:r w:rsidRPr="00360F06">
        <w:rPr>
          <w:rFonts w:hint="eastAsia"/>
          <w:sz w:val="24"/>
          <w:szCs w:val="24"/>
        </w:rPr>
        <w:t>一般に、行為者が，取引の相手方に対し，自己の競争者から商品の供給を受けないことを取引の条件とすることは、これまで述べてきたように、行為の具体的形態によって、排他条件付</w:t>
      </w:r>
      <w:r>
        <w:rPr>
          <w:rFonts w:hint="eastAsia"/>
          <w:sz w:val="24"/>
          <w:szCs w:val="24"/>
        </w:rPr>
        <w:t>取引のほか、拘束条件付取引、間接拒絶、取引妨害などに該当する可能性</w:t>
      </w:r>
      <w:r w:rsidRPr="00360F06">
        <w:rPr>
          <w:rFonts w:hint="eastAsia"/>
          <w:sz w:val="24"/>
          <w:szCs w:val="24"/>
        </w:rPr>
        <w:t>がある。</w:t>
      </w:r>
    </w:p>
    <w:p w:rsidR="00B2077F" w:rsidRPr="00360F06" w:rsidRDefault="00B2077F" w:rsidP="00B2077F">
      <w:pPr>
        <w:ind w:left="99" w:firstLineChars="0" w:firstLine="0"/>
        <w:rPr>
          <w:sz w:val="24"/>
          <w:szCs w:val="24"/>
        </w:rPr>
      </w:pPr>
      <w:r w:rsidRPr="00360F06">
        <w:rPr>
          <w:rFonts w:hint="eastAsia"/>
          <w:sz w:val="24"/>
          <w:szCs w:val="24"/>
        </w:rPr>
        <w:t xml:space="preserve">　近年は、反トラスト法上の議論をふまえ、</w:t>
      </w:r>
      <w:r>
        <w:rPr>
          <w:rFonts w:hint="eastAsia"/>
          <w:sz w:val="24"/>
          <w:szCs w:val="24"/>
        </w:rPr>
        <w:t>これらを広く捉えて、広義の「排他的取引」として論じられることも少なくない</w:t>
      </w:r>
      <w:r w:rsidRPr="00360F06">
        <w:rPr>
          <w:rFonts w:hint="eastAsia"/>
          <w:sz w:val="24"/>
          <w:szCs w:val="24"/>
        </w:rPr>
        <w:t>。公取委「排除型私的独占に係る独占禁止法上の指針」でも、排他条件付取引などの法定の諸類型に触れずに、排他的取引の反競争性について検討している（同ガイドライン第</w:t>
      </w:r>
      <w:r w:rsidRPr="00360F06">
        <w:rPr>
          <w:rFonts w:hint="eastAsia"/>
          <w:sz w:val="24"/>
          <w:szCs w:val="24"/>
        </w:rPr>
        <w:t>2</w:t>
      </w:r>
      <w:r w:rsidRPr="00360F06">
        <w:rPr>
          <w:rFonts w:hint="eastAsia"/>
          <w:sz w:val="24"/>
          <w:szCs w:val="24"/>
        </w:rPr>
        <w:t>の</w:t>
      </w:r>
      <w:r w:rsidRPr="00360F06">
        <w:rPr>
          <w:rFonts w:hint="eastAsia"/>
          <w:sz w:val="24"/>
          <w:szCs w:val="24"/>
        </w:rPr>
        <w:t>3</w:t>
      </w:r>
      <w:r w:rsidRPr="00360F06">
        <w:rPr>
          <w:rFonts w:hint="eastAsia"/>
          <w:sz w:val="24"/>
          <w:szCs w:val="24"/>
        </w:rPr>
        <w:t>。以下、適宜「排除型私的独占ガイドライン」と略記する）。</w:t>
      </w:r>
    </w:p>
    <w:p w:rsidR="00B2077F" w:rsidRPr="00360F06" w:rsidRDefault="00B2077F" w:rsidP="00B2077F">
      <w:pPr>
        <w:ind w:left="99" w:firstLineChars="0" w:firstLine="0"/>
        <w:rPr>
          <w:sz w:val="24"/>
          <w:szCs w:val="24"/>
        </w:rPr>
      </w:pPr>
    </w:p>
    <w:p w:rsidR="00B2077F" w:rsidRPr="00360F06" w:rsidRDefault="00B2077F" w:rsidP="00B2077F">
      <w:pPr>
        <w:ind w:left="113" w:hangingChars="47" w:hanging="113"/>
        <w:rPr>
          <w:sz w:val="24"/>
          <w:szCs w:val="24"/>
        </w:rPr>
      </w:pPr>
      <w:r>
        <w:rPr>
          <w:rFonts w:hint="eastAsia"/>
          <w:sz w:val="24"/>
          <w:szCs w:val="24"/>
        </w:rPr>
        <w:t>（２</w:t>
      </w:r>
      <w:r w:rsidRPr="00360F06">
        <w:rPr>
          <w:rFonts w:hint="eastAsia"/>
          <w:sz w:val="24"/>
          <w:szCs w:val="24"/>
        </w:rPr>
        <w:t>）私的独占（独禁法</w:t>
      </w:r>
      <w:r w:rsidRPr="00360F06">
        <w:rPr>
          <w:rFonts w:hint="eastAsia"/>
          <w:sz w:val="24"/>
          <w:szCs w:val="24"/>
        </w:rPr>
        <w:t>2</w:t>
      </w:r>
      <w:r w:rsidRPr="00360F06">
        <w:rPr>
          <w:rFonts w:hint="eastAsia"/>
          <w:sz w:val="24"/>
          <w:szCs w:val="24"/>
        </w:rPr>
        <w:t>条</w:t>
      </w:r>
      <w:r w:rsidRPr="00360F06">
        <w:rPr>
          <w:rFonts w:hint="eastAsia"/>
          <w:sz w:val="24"/>
          <w:szCs w:val="24"/>
        </w:rPr>
        <w:t>5</w:t>
      </w:r>
      <w:r w:rsidRPr="00360F06">
        <w:rPr>
          <w:rFonts w:hint="eastAsia"/>
          <w:sz w:val="24"/>
          <w:szCs w:val="24"/>
        </w:rPr>
        <w:t>項）の要件の</w:t>
      </w:r>
      <w:r w:rsidRPr="00360F06">
        <w:rPr>
          <w:rFonts w:hint="eastAsia"/>
          <w:sz w:val="24"/>
          <w:szCs w:val="24"/>
        </w:rPr>
        <w:t>1</w:t>
      </w:r>
      <w:r w:rsidRPr="00360F06">
        <w:rPr>
          <w:rFonts w:hint="eastAsia"/>
          <w:sz w:val="24"/>
          <w:szCs w:val="24"/>
        </w:rPr>
        <w:t>つである「排除」行為とは、「他の事業者の事業活動の継続を困難にさせたり，新規参入者の事業開始を困難にさせたりする行為であって，一定の取引分野にお</w:t>
      </w:r>
      <w:r>
        <w:rPr>
          <w:rFonts w:hint="eastAsia"/>
          <w:sz w:val="24"/>
          <w:szCs w:val="24"/>
        </w:rPr>
        <w:t>ける競争を実質的に制限することにつながる様々な行為をいう。」（</w:t>
      </w:r>
      <w:r w:rsidRPr="00360F06">
        <w:rPr>
          <w:rFonts w:hint="eastAsia"/>
          <w:sz w:val="24"/>
          <w:szCs w:val="24"/>
        </w:rPr>
        <w:t>排除型私的独占ガイドライン第</w:t>
      </w:r>
      <w:r w:rsidRPr="00360F06">
        <w:rPr>
          <w:rFonts w:hint="eastAsia"/>
          <w:sz w:val="24"/>
          <w:szCs w:val="24"/>
        </w:rPr>
        <w:t>2</w:t>
      </w:r>
      <w:r w:rsidRPr="00360F06">
        <w:rPr>
          <w:rFonts w:hint="eastAsia"/>
          <w:sz w:val="24"/>
          <w:szCs w:val="24"/>
        </w:rPr>
        <w:t>の</w:t>
      </w:r>
      <w:r w:rsidRPr="00360F06">
        <w:rPr>
          <w:rFonts w:hint="eastAsia"/>
          <w:sz w:val="24"/>
          <w:szCs w:val="24"/>
        </w:rPr>
        <w:t>1(1)</w:t>
      </w:r>
      <w:r w:rsidRPr="00360F06">
        <w:rPr>
          <w:rFonts w:hint="eastAsia"/>
          <w:sz w:val="24"/>
          <w:szCs w:val="24"/>
        </w:rPr>
        <w:t>）。</w:t>
      </w:r>
    </w:p>
    <w:p w:rsidR="00B2077F" w:rsidRDefault="00B2077F" w:rsidP="00B2077F">
      <w:pPr>
        <w:ind w:left="99" w:firstLineChars="100" w:firstLine="240"/>
        <w:rPr>
          <w:sz w:val="24"/>
          <w:szCs w:val="24"/>
        </w:rPr>
      </w:pPr>
      <w:r w:rsidRPr="00360F06">
        <w:rPr>
          <w:rFonts w:hint="eastAsia"/>
          <w:sz w:val="24"/>
          <w:szCs w:val="24"/>
        </w:rPr>
        <w:t>「排除」行為の</w:t>
      </w:r>
      <w:r w:rsidRPr="00360F06">
        <w:rPr>
          <w:rFonts w:hint="eastAsia"/>
          <w:sz w:val="24"/>
          <w:szCs w:val="24"/>
        </w:rPr>
        <w:t>1</w:t>
      </w:r>
      <w:r w:rsidRPr="00360F06">
        <w:rPr>
          <w:rFonts w:hint="eastAsia"/>
          <w:sz w:val="24"/>
          <w:szCs w:val="24"/>
        </w:rPr>
        <w:t>類型としての排他的取引とは、事業者が相手方に対し、自己の競争者との取引を禁止し、又は制限することを取引の条件とする行為またはこれと同様の効果をもつ行為である。これにより、「他に代わり得る取引先を容易に見いだすことができない競争者の事業活動を困難にさせる場合には，当該行為は排除行為となる」（同ガイドライン第</w:t>
      </w:r>
      <w:r w:rsidRPr="00360F06">
        <w:rPr>
          <w:rFonts w:hint="eastAsia"/>
          <w:sz w:val="24"/>
          <w:szCs w:val="24"/>
        </w:rPr>
        <w:t>2</w:t>
      </w:r>
      <w:r w:rsidRPr="00360F06">
        <w:rPr>
          <w:rFonts w:hint="eastAsia"/>
          <w:sz w:val="24"/>
          <w:szCs w:val="24"/>
        </w:rPr>
        <w:t>の</w:t>
      </w:r>
      <w:r w:rsidRPr="00360F06">
        <w:rPr>
          <w:rFonts w:hint="eastAsia"/>
          <w:sz w:val="24"/>
          <w:szCs w:val="24"/>
        </w:rPr>
        <w:t>3(1)</w:t>
      </w:r>
      <w:r w:rsidRPr="00360F06">
        <w:rPr>
          <w:rFonts w:hint="eastAsia"/>
          <w:sz w:val="24"/>
          <w:szCs w:val="24"/>
        </w:rPr>
        <w:t>）。これに該当するか否かについては、商品に係る市場全体の状況、行為者・競争者の市場における地位、行為の期間及び相手方の数・シェア、行為の態様（取引の条件・内容，行為者の意図・目的等）が総合的に考慮される</w:t>
      </w:r>
      <w:r>
        <w:rPr>
          <w:rFonts w:hint="eastAsia"/>
          <w:sz w:val="24"/>
          <w:szCs w:val="24"/>
        </w:rPr>
        <w:t>（</w:t>
      </w:r>
      <w:r w:rsidRPr="00360F06">
        <w:rPr>
          <w:rFonts w:hint="eastAsia"/>
          <w:sz w:val="24"/>
          <w:szCs w:val="24"/>
        </w:rPr>
        <w:t>排除型私的独占ガイドライン第</w:t>
      </w:r>
      <w:r w:rsidRPr="00360F06">
        <w:rPr>
          <w:rFonts w:hint="eastAsia"/>
          <w:sz w:val="24"/>
          <w:szCs w:val="24"/>
        </w:rPr>
        <w:t>2</w:t>
      </w:r>
      <w:r w:rsidRPr="00360F06">
        <w:rPr>
          <w:rFonts w:hint="eastAsia"/>
          <w:sz w:val="24"/>
          <w:szCs w:val="24"/>
        </w:rPr>
        <w:t>の</w:t>
      </w:r>
      <w:r>
        <w:rPr>
          <w:rFonts w:hint="eastAsia"/>
          <w:sz w:val="24"/>
          <w:szCs w:val="24"/>
        </w:rPr>
        <w:t>3(2</w:t>
      </w:r>
      <w:r w:rsidRPr="00360F06">
        <w:rPr>
          <w:rFonts w:hint="eastAsia"/>
          <w:sz w:val="24"/>
          <w:szCs w:val="24"/>
        </w:rPr>
        <w:t>)</w:t>
      </w:r>
      <w:r w:rsidRPr="00360F06">
        <w:rPr>
          <w:rFonts w:hint="eastAsia"/>
          <w:sz w:val="24"/>
          <w:szCs w:val="24"/>
        </w:rPr>
        <w:t>）。</w:t>
      </w:r>
    </w:p>
    <w:p w:rsidR="00B2077F" w:rsidRPr="00360F06" w:rsidRDefault="00B2077F" w:rsidP="00B2077F">
      <w:pPr>
        <w:ind w:left="99" w:firstLineChars="100" w:firstLine="240"/>
        <w:rPr>
          <w:sz w:val="24"/>
          <w:szCs w:val="24"/>
        </w:rPr>
      </w:pPr>
      <w:r>
        <w:rPr>
          <w:rFonts w:hint="eastAsia"/>
          <w:sz w:val="24"/>
          <w:szCs w:val="24"/>
        </w:rPr>
        <w:t>以上の</w:t>
      </w:r>
      <w:r w:rsidRPr="00360F06">
        <w:rPr>
          <w:rFonts w:hint="eastAsia"/>
          <w:sz w:val="24"/>
          <w:szCs w:val="24"/>
        </w:rPr>
        <w:t>同ガイドライン</w:t>
      </w:r>
      <w:r>
        <w:rPr>
          <w:rFonts w:hint="eastAsia"/>
          <w:sz w:val="24"/>
          <w:szCs w:val="24"/>
        </w:rPr>
        <w:t>の記述は、従来、不公正な取引方法について説かれてきた「</w:t>
      </w:r>
      <w:r w:rsidRPr="00F62421">
        <w:rPr>
          <w:rFonts w:hint="eastAsia"/>
          <w:sz w:val="24"/>
          <w:szCs w:val="24"/>
        </w:rPr>
        <w:t>取引先代替可能性</w:t>
      </w:r>
      <w:r>
        <w:rPr>
          <w:rFonts w:hint="eastAsia"/>
          <w:sz w:val="24"/>
          <w:szCs w:val="24"/>
        </w:rPr>
        <w:t>」と「</w:t>
      </w:r>
      <w:r w:rsidRPr="00F62421">
        <w:rPr>
          <w:rFonts w:hint="eastAsia"/>
          <w:sz w:val="24"/>
          <w:szCs w:val="24"/>
        </w:rPr>
        <w:t>事業活動困難性</w:t>
      </w:r>
      <w:r>
        <w:rPr>
          <w:rFonts w:hint="eastAsia"/>
          <w:sz w:val="24"/>
          <w:szCs w:val="24"/>
        </w:rPr>
        <w:t>」をともに満たすときに、私的独占における「排除」に当たるとするものであり、それ自体は妥当な解釈であると考えられる。ただし、これは排除の１つの類型を示したものに過ぎないのであって、これ以外の排除行為もあり得ることは当然であり、同ガイドラインも、「</w:t>
      </w:r>
      <w:r w:rsidRPr="008D236F">
        <w:rPr>
          <w:rFonts w:ascii="ＭＳ 明朝" w:hAnsi="ＭＳ 明朝" w:hint="eastAsia"/>
          <w:sz w:val="24"/>
        </w:rPr>
        <w:t>排除型私的独占を構成する排除行為はこれら４つの類型に当てはまるものに限られない。</w:t>
      </w:r>
      <w:r>
        <w:rPr>
          <w:rFonts w:ascii="ＭＳ 明朝" w:hAnsi="ＭＳ 明朝" w:hint="eastAsia"/>
          <w:sz w:val="24"/>
        </w:rPr>
        <w:t>」と断っている。</w:t>
      </w:r>
    </w:p>
    <w:p w:rsidR="00B2077F" w:rsidRPr="00360F06" w:rsidRDefault="00B2077F" w:rsidP="00B2077F">
      <w:pPr>
        <w:ind w:left="113" w:hangingChars="47" w:hanging="113"/>
        <w:rPr>
          <w:sz w:val="24"/>
          <w:szCs w:val="24"/>
        </w:rPr>
      </w:pPr>
      <w:r>
        <w:rPr>
          <w:rFonts w:hint="eastAsia"/>
          <w:sz w:val="24"/>
          <w:szCs w:val="24"/>
        </w:rPr>
        <w:lastRenderedPageBreak/>
        <w:t>（３</w:t>
      </w:r>
      <w:r w:rsidRPr="00360F06">
        <w:rPr>
          <w:rFonts w:hint="eastAsia"/>
          <w:sz w:val="24"/>
          <w:szCs w:val="24"/>
        </w:rPr>
        <w:t>）排除型私的独占ガイドラインは、以上の引用部分を示す前提として、「排除」の性格付けの際に、正常な競争手段と区別される「排除」をどう捉えるかに意を用いている。</w:t>
      </w:r>
    </w:p>
    <w:p w:rsidR="00B2077F" w:rsidRPr="00360F06" w:rsidRDefault="00B2077F" w:rsidP="00B2077F">
      <w:pPr>
        <w:ind w:left="99" w:firstLineChars="100" w:firstLine="240"/>
        <w:rPr>
          <w:sz w:val="24"/>
          <w:szCs w:val="24"/>
        </w:rPr>
      </w:pPr>
      <w:r w:rsidRPr="00360F06">
        <w:rPr>
          <w:rFonts w:hint="eastAsia"/>
          <w:sz w:val="24"/>
          <w:szCs w:val="24"/>
        </w:rPr>
        <w:t>これによれば、自己の効率性の向上のために行った事業活動であれば、そのことによって競争者を排除しても、それは正常な競争手段と認めるべきである。よりよい商品・役務を、よりよい取引条件で提供するのは、まさに正常な効率性の向上のための企業努力である。「事業者が自らの効率性の向上等の企業努力により低価格で良質な商品を提供したことによって，競争者の非効率的な事業活動の継続が困難になったとしても，これは独占禁止法が目的とする公正かつ自由な競争</w:t>
      </w:r>
      <w:r w:rsidR="00B66B4C">
        <w:rPr>
          <w:rFonts w:hint="eastAsia"/>
          <w:sz w:val="24"/>
          <w:szCs w:val="24"/>
        </w:rPr>
        <w:t>の結果であり，このような行為が排除行為に該当することはない」（</w:t>
      </w:r>
      <w:r w:rsidR="00B66B4C" w:rsidRPr="00360F06">
        <w:rPr>
          <w:rFonts w:hint="eastAsia"/>
          <w:sz w:val="24"/>
          <w:szCs w:val="24"/>
        </w:rPr>
        <w:t>排除型私的独占</w:t>
      </w:r>
      <w:r w:rsidRPr="00360F06">
        <w:rPr>
          <w:rFonts w:hint="eastAsia"/>
          <w:sz w:val="24"/>
          <w:szCs w:val="24"/>
        </w:rPr>
        <w:t>ガイドライン第</w:t>
      </w:r>
      <w:r w:rsidRPr="00360F06">
        <w:rPr>
          <w:rFonts w:hint="eastAsia"/>
          <w:sz w:val="24"/>
          <w:szCs w:val="24"/>
        </w:rPr>
        <w:t>2</w:t>
      </w:r>
      <w:r w:rsidRPr="00360F06">
        <w:rPr>
          <w:rFonts w:hint="eastAsia"/>
          <w:sz w:val="24"/>
          <w:szCs w:val="24"/>
        </w:rPr>
        <w:t>の</w:t>
      </w:r>
      <w:r w:rsidRPr="00360F06">
        <w:rPr>
          <w:rFonts w:hint="eastAsia"/>
          <w:sz w:val="24"/>
          <w:szCs w:val="24"/>
        </w:rPr>
        <w:t>1(1)</w:t>
      </w:r>
      <w:r w:rsidRPr="00360F06">
        <w:rPr>
          <w:rFonts w:hint="eastAsia"/>
          <w:sz w:val="24"/>
          <w:szCs w:val="24"/>
        </w:rPr>
        <w:t>）。</w:t>
      </w:r>
    </w:p>
    <w:p w:rsidR="00B2077F" w:rsidRPr="00360F06" w:rsidRDefault="00B2077F" w:rsidP="00B2077F">
      <w:pPr>
        <w:ind w:left="99" w:firstLineChars="100" w:firstLine="240"/>
        <w:rPr>
          <w:sz w:val="24"/>
          <w:szCs w:val="24"/>
        </w:rPr>
      </w:pPr>
      <w:r w:rsidRPr="00360F06">
        <w:rPr>
          <w:rFonts w:hint="eastAsia"/>
          <w:sz w:val="24"/>
          <w:szCs w:val="24"/>
        </w:rPr>
        <w:t>自由な競争において、事業者は様々な手段によって競争者を市場から排除しようとするものであり、その中で特定の「排除」行為だけが、独禁法上の私的独占の行為要件に当たる。ここで問題になっている排他的取引も、多様な状況の中で合理的な競争戦略の</w:t>
      </w:r>
      <w:r w:rsidRPr="00360F06">
        <w:rPr>
          <w:rFonts w:hint="eastAsia"/>
          <w:sz w:val="24"/>
          <w:szCs w:val="24"/>
        </w:rPr>
        <w:t>1</w:t>
      </w:r>
      <w:r w:rsidRPr="00360F06">
        <w:rPr>
          <w:rFonts w:hint="eastAsia"/>
          <w:sz w:val="24"/>
          <w:szCs w:val="24"/>
        </w:rPr>
        <w:t>つとして用いられることも少なくない。特定の市場状況における、特定の事業者による特定の排他的取引だけが違法となるのである。</w:t>
      </w:r>
    </w:p>
    <w:p w:rsidR="00B2077F" w:rsidRPr="00360F06" w:rsidRDefault="00B2077F" w:rsidP="00B2077F">
      <w:pPr>
        <w:ind w:left="0" w:firstLineChars="100" w:firstLine="240"/>
        <w:rPr>
          <w:sz w:val="24"/>
          <w:szCs w:val="24"/>
        </w:rPr>
      </w:pPr>
    </w:p>
    <w:p w:rsidR="00B2077F" w:rsidRPr="00360F06" w:rsidRDefault="00B2077F" w:rsidP="00B2077F">
      <w:pPr>
        <w:ind w:left="113" w:hangingChars="47" w:hanging="113"/>
        <w:rPr>
          <w:sz w:val="24"/>
          <w:szCs w:val="24"/>
        </w:rPr>
      </w:pPr>
      <w:r>
        <w:rPr>
          <w:rFonts w:hint="eastAsia"/>
          <w:sz w:val="24"/>
          <w:szCs w:val="24"/>
        </w:rPr>
        <w:t>（４</w:t>
      </w:r>
      <w:r w:rsidRPr="00360F06">
        <w:rPr>
          <w:rFonts w:hint="eastAsia"/>
          <w:sz w:val="24"/>
          <w:szCs w:val="24"/>
        </w:rPr>
        <w:t>）それでは、正常な競争手段としての排他的取引と、反競争的な排他的取引をどう区別すべきか。</w:t>
      </w:r>
    </w:p>
    <w:p w:rsidR="00B2077F" w:rsidRPr="00360F06" w:rsidRDefault="00B2077F" w:rsidP="00B2077F">
      <w:pPr>
        <w:ind w:left="99" w:firstLineChars="100" w:firstLine="240"/>
        <w:rPr>
          <w:sz w:val="24"/>
          <w:szCs w:val="24"/>
        </w:rPr>
      </w:pPr>
      <w:r w:rsidRPr="00360F06">
        <w:rPr>
          <w:rFonts w:hint="eastAsia"/>
          <w:sz w:val="24"/>
          <w:szCs w:val="24"/>
        </w:rPr>
        <w:t>この点については、特に</w:t>
      </w:r>
      <w:r w:rsidRPr="00360F06">
        <w:rPr>
          <w:rFonts w:hint="eastAsia"/>
          <w:sz w:val="24"/>
          <w:szCs w:val="24"/>
        </w:rPr>
        <w:t>1990</w:t>
      </w:r>
      <w:r w:rsidRPr="00360F06">
        <w:rPr>
          <w:rFonts w:hint="eastAsia"/>
          <w:sz w:val="24"/>
          <w:szCs w:val="24"/>
        </w:rPr>
        <w:t>年代後半から米国や欧州等そして日本で多くの議論が重ねられてきた。これらの議論をふまえ、今日では、違法な排除行為を「効率性によらない排除」として性格付け、特に排他的取引等については、「ライバル費用の引き上げ行為」</w:t>
      </w:r>
      <w:r w:rsidRPr="00360F06">
        <w:rPr>
          <w:rFonts w:hint="eastAsia"/>
          <w:sz w:val="24"/>
          <w:szCs w:val="24"/>
        </w:rPr>
        <w:t>(RRC: Raising Rivals</w:t>
      </w:r>
      <w:r w:rsidRPr="00360F06">
        <w:rPr>
          <w:rFonts w:hint="eastAsia"/>
          <w:sz w:val="24"/>
          <w:szCs w:val="24"/>
        </w:rPr>
        <w:t>’</w:t>
      </w:r>
      <w:r w:rsidRPr="00360F06">
        <w:rPr>
          <w:rFonts w:hint="eastAsia"/>
          <w:sz w:val="24"/>
          <w:szCs w:val="24"/>
        </w:rPr>
        <w:t xml:space="preserve"> Cost)</w:t>
      </w:r>
      <w:r w:rsidRPr="00360F06">
        <w:rPr>
          <w:rFonts w:hint="eastAsia"/>
          <w:sz w:val="24"/>
          <w:szCs w:val="24"/>
        </w:rPr>
        <w:t>か否かで判断すべきであるという説が有力</w:t>
      </w:r>
      <w:r>
        <w:rPr>
          <w:rFonts w:hint="eastAsia"/>
          <w:sz w:val="24"/>
          <w:szCs w:val="24"/>
        </w:rPr>
        <w:t>に説かれている</w:t>
      </w:r>
      <w:r w:rsidRPr="00360F06">
        <w:rPr>
          <w:rFonts w:hint="eastAsia"/>
          <w:sz w:val="24"/>
          <w:szCs w:val="24"/>
        </w:rPr>
        <w:t>。</w:t>
      </w:r>
    </w:p>
    <w:p w:rsidR="00B2077F" w:rsidRPr="00360F06" w:rsidRDefault="00B2077F" w:rsidP="00B2077F">
      <w:pPr>
        <w:ind w:left="99" w:firstLineChars="100" w:firstLine="240"/>
        <w:rPr>
          <w:sz w:val="24"/>
          <w:szCs w:val="24"/>
        </w:rPr>
      </w:pPr>
      <w:r>
        <w:rPr>
          <w:rFonts w:hint="eastAsia"/>
          <w:sz w:val="24"/>
          <w:szCs w:val="24"/>
        </w:rPr>
        <w:t>これによれば、</w:t>
      </w:r>
      <w:r w:rsidRPr="00360F06">
        <w:rPr>
          <w:rFonts w:hint="eastAsia"/>
          <w:sz w:val="24"/>
          <w:szCs w:val="24"/>
        </w:rPr>
        <w:t>もっぱら他の事業者の競争する能力を低下させる行為、具体的には他の事業者の事業活動を行う費用を人為的に引き上げることは違法な排除行為とすべきである。すなわち、排他的取引の反競争性の有無は、それが新規参入やライバルの費用を人為的に高めたか否かによって決せられる。</w:t>
      </w:r>
    </w:p>
    <w:p w:rsidR="00B2077F" w:rsidRDefault="00B2077F" w:rsidP="00B2077F">
      <w:pPr>
        <w:ind w:left="99" w:firstLineChars="100" w:firstLine="240"/>
        <w:rPr>
          <w:sz w:val="24"/>
          <w:szCs w:val="24"/>
        </w:rPr>
      </w:pPr>
    </w:p>
    <w:p w:rsidR="00B66B4C" w:rsidRPr="00B66B4C" w:rsidRDefault="00B66B4C" w:rsidP="00B66B4C">
      <w:pPr>
        <w:pStyle w:val="aa"/>
        <w:ind w:left="210" w:hanging="210"/>
        <w:rPr>
          <w:szCs w:val="21"/>
        </w:rPr>
      </w:pPr>
      <w:r w:rsidRPr="00B66B4C">
        <w:rPr>
          <w:rFonts w:hint="eastAsia"/>
          <w:szCs w:val="21"/>
        </w:rPr>
        <w:t xml:space="preserve">　　＊「ライバル費用の引き上げ行為」についての独占禁止法上の規制をふまえた経済学からの説明として、例えば、柳川隆＝川濵昇（編）『競争の戦略と政策』（有斐閣、</w:t>
      </w:r>
      <w:r w:rsidRPr="00B66B4C">
        <w:rPr>
          <w:rFonts w:hint="eastAsia"/>
          <w:szCs w:val="21"/>
        </w:rPr>
        <w:t>2006</w:t>
      </w:r>
      <w:r w:rsidRPr="00B66B4C">
        <w:rPr>
          <w:rFonts w:hint="eastAsia"/>
          <w:szCs w:val="21"/>
        </w:rPr>
        <w:t>年）</w:t>
      </w:r>
      <w:r w:rsidRPr="00B66B4C">
        <w:rPr>
          <w:rFonts w:hint="eastAsia"/>
          <w:szCs w:val="21"/>
        </w:rPr>
        <w:t>190</w:t>
      </w:r>
      <w:r w:rsidRPr="00B66B4C">
        <w:rPr>
          <w:rFonts w:hint="eastAsia"/>
          <w:szCs w:val="21"/>
        </w:rPr>
        <w:t>頁以下、</w:t>
      </w:r>
      <w:r w:rsidRPr="00B66B4C">
        <w:rPr>
          <w:rFonts w:hint="eastAsia"/>
          <w:szCs w:val="21"/>
        </w:rPr>
        <w:t>231</w:t>
      </w:r>
      <w:r w:rsidRPr="00B66B4C">
        <w:rPr>
          <w:rFonts w:hint="eastAsia"/>
          <w:szCs w:val="21"/>
        </w:rPr>
        <w:t>頁以下、岡田羊祐＝林秀弥（編）「独占禁止法の経済学」（東京大学出版会、</w:t>
      </w:r>
      <w:r w:rsidRPr="00B66B4C">
        <w:rPr>
          <w:rFonts w:hint="eastAsia"/>
          <w:szCs w:val="21"/>
        </w:rPr>
        <w:t>2009</w:t>
      </w:r>
      <w:r w:rsidRPr="00B66B4C">
        <w:rPr>
          <w:rFonts w:hint="eastAsia"/>
          <w:szCs w:val="21"/>
        </w:rPr>
        <w:t>年）</w:t>
      </w:r>
      <w:r w:rsidRPr="00B66B4C">
        <w:rPr>
          <w:rFonts w:hint="eastAsia"/>
          <w:szCs w:val="21"/>
        </w:rPr>
        <w:t>223</w:t>
      </w:r>
      <w:r w:rsidRPr="00B66B4C">
        <w:rPr>
          <w:rFonts w:hint="eastAsia"/>
          <w:szCs w:val="21"/>
        </w:rPr>
        <w:t>頁以下等がある。</w:t>
      </w:r>
    </w:p>
    <w:p w:rsidR="00B66B4C" w:rsidRPr="00B66B4C" w:rsidRDefault="00B66B4C" w:rsidP="00B66B4C">
      <w:pPr>
        <w:pStyle w:val="aa"/>
        <w:ind w:leftChars="100" w:left="210" w:firstLineChars="100" w:firstLine="210"/>
        <w:rPr>
          <w:szCs w:val="21"/>
        </w:rPr>
      </w:pPr>
      <w:r w:rsidRPr="00B66B4C">
        <w:rPr>
          <w:rFonts w:hint="eastAsia"/>
          <w:szCs w:val="21"/>
        </w:rPr>
        <w:t>独占禁止法の解釈論における「ライバル費用の引き上げ行為」については、川濵昇「私的独占の規制について」後藤晃ほか（編）『日本の競争政策』（東京大学出版会、</w:t>
      </w:r>
      <w:r w:rsidRPr="00B66B4C">
        <w:rPr>
          <w:rFonts w:hint="eastAsia"/>
          <w:szCs w:val="21"/>
        </w:rPr>
        <w:t>1999</w:t>
      </w:r>
      <w:r w:rsidRPr="00B66B4C">
        <w:rPr>
          <w:rFonts w:hint="eastAsia"/>
          <w:szCs w:val="21"/>
        </w:rPr>
        <w:t>年）</w:t>
      </w:r>
      <w:r w:rsidRPr="00B66B4C">
        <w:rPr>
          <w:rFonts w:hint="eastAsia"/>
          <w:szCs w:val="21"/>
        </w:rPr>
        <w:t>199</w:t>
      </w:r>
      <w:r w:rsidRPr="00B66B4C">
        <w:rPr>
          <w:rFonts w:hint="eastAsia"/>
          <w:szCs w:val="21"/>
        </w:rPr>
        <w:t>頁以下、</w:t>
      </w:r>
      <w:r w:rsidRPr="00B66B4C">
        <w:rPr>
          <w:rFonts w:hint="eastAsia"/>
          <w:szCs w:val="21"/>
        </w:rPr>
        <w:t>226</w:t>
      </w:r>
      <w:r w:rsidRPr="00B66B4C">
        <w:rPr>
          <w:rFonts w:hint="eastAsia"/>
          <w:szCs w:val="21"/>
        </w:rPr>
        <w:t>頁以下、同「独占禁止法</w:t>
      </w:r>
      <w:r w:rsidRPr="00B66B4C">
        <w:rPr>
          <w:rFonts w:hint="eastAsia"/>
          <w:szCs w:val="21"/>
        </w:rPr>
        <w:t>2</w:t>
      </w:r>
      <w:r w:rsidRPr="00B66B4C">
        <w:rPr>
          <w:rFonts w:hint="eastAsia"/>
          <w:szCs w:val="21"/>
        </w:rPr>
        <w:t>条</w:t>
      </w:r>
      <w:r w:rsidRPr="00B66B4C">
        <w:rPr>
          <w:rFonts w:hint="eastAsia"/>
          <w:szCs w:val="21"/>
        </w:rPr>
        <w:t>5</w:t>
      </w:r>
      <w:r w:rsidRPr="00B66B4C">
        <w:rPr>
          <w:rFonts w:hint="eastAsia"/>
          <w:szCs w:val="21"/>
        </w:rPr>
        <w:t>項</w:t>
      </w:r>
      <w:r w:rsidRPr="00B66B4C">
        <w:rPr>
          <w:rFonts w:hint="eastAsia"/>
          <w:szCs w:val="21"/>
        </w:rPr>
        <w:t>(</w:t>
      </w:r>
      <w:r w:rsidRPr="00B66B4C">
        <w:rPr>
          <w:rFonts w:hint="eastAsia"/>
          <w:szCs w:val="21"/>
        </w:rPr>
        <w:t>私的独占）の再検討」『京都大学法学部</w:t>
      </w:r>
      <w:r w:rsidRPr="00B66B4C">
        <w:rPr>
          <w:rFonts w:hint="eastAsia"/>
          <w:szCs w:val="21"/>
        </w:rPr>
        <w:t xml:space="preserve"> </w:t>
      </w:r>
      <w:r w:rsidRPr="00B66B4C">
        <w:rPr>
          <w:rFonts w:hint="eastAsia"/>
          <w:szCs w:val="21"/>
        </w:rPr>
        <w:t>創立百週年記念論文集</w:t>
      </w:r>
      <w:r w:rsidRPr="00B66B4C">
        <w:rPr>
          <w:rFonts w:hint="eastAsia"/>
          <w:szCs w:val="21"/>
        </w:rPr>
        <w:t xml:space="preserve"> </w:t>
      </w:r>
      <w:r w:rsidRPr="00B66B4C">
        <w:rPr>
          <w:rFonts w:hint="eastAsia"/>
          <w:szCs w:val="21"/>
        </w:rPr>
        <w:t>第</w:t>
      </w:r>
      <w:r w:rsidRPr="00B66B4C">
        <w:rPr>
          <w:rFonts w:hint="eastAsia"/>
          <w:szCs w:val="21"/>
        </w:rPr>
        <w:t>3</w:t>
      </w:r>
      <w:r w:rsidRPr="00B66B4C">
        <w:rPr>
          <w:rFonts w:hint="eastAsia"/>
          <w:szCs w:val="21"/>
        </w:rPr>
        <w:t>巻民事法』</w:t>
      </w:r>
      <w:r w:rsidRPr="00B66B4C">
        <w:rPr>
          <w:rFonts w:hint="eastAsia"/>
          <w:szCs w:val="21"/>
        </w:rPr>
        <w:t>(</w:t>
      </w:r>
      <w:r w:rsidRPr="00B66B4C">
        <w:rPr>
          <w:rFonts w:hint="eastAsia"/>
          <w:szCs w:val="21"/>
        </w:rPr>
        <w:t>有斐閣、</w:t>
      </w:r>
      <w:r w:rsidRPr="00B66B4C">
        <w:rPr>
          <w:rFonts w:hint="eastAsia"/>
          <w:szCs w:val="21"/>
        </w:rPr>
        <w:t>1999</w:t>
      </w:r>
      <w:r w:rsidRPr="00B66B4C">
        <w:rPr>
          <w:rFonts w:hint="eastAsia"/>
          <w:szCs w:val="21"/>
        </w:rPr>
        <w:t>年</w:t>
      </w:r>
      <w:r w:rsidRPr="00B66B4C">
        <w:rPr>
          <w:rFonts w:hint="eastAsia"/>
          <w:szCs w:val="21"/>
        </w:rPr>
        <w:t>)323</w:t>
      </w:r>
      <w:r w:rsidRPr="00B66B4C">
        <w:rPr>
          <w:rFonts w:hint="eastAsia"/>
          <w:szCs w:val="21"/>
        </w:rPr>
        <w:t>頁以下､</w:t>
      </w:r>
      <w:r w:rsidRPr="00B66B4C">
        <w:rPr>
          <w:rFonts w:hint="eastAsia"/>
          <w:szCs w:val="21"/>
        </w:rPr>
        <w:t>331</w:t>
      </w:r>
      <w:r w:rsidRPr="00B66B4C">
        <w:rPr>
          <w:rFonts w:hint="eastAsia"/>
          <w:szCs w:val="21"/>
        </w:rPr>
        <w:t>頁、同「『競争の実質的制限』と市場支配力」正田古稀祝賀「独占禁止法と競争政策の理論と展開」（三省堂、</w:t>
      </w:r>
      <w:r w:rsidRPr="00B66B4C">
        <w:rPr>
          <w:rFonts w:hint="eastAsia"/>
          <w:szCs w:val="21"/>
        </w:rPr>
        <w:t>1999</w:t>
      </w:r>
      <w:r w:rsidRPr="00B66B4C">
        <w:rPr>
          <w:rFonts w:hint="eastAsia"/>
          <w:szCs w:val="21"/>
        </w:rPr>
        <w:t>年）</w:t>
      </w:r>
      <w:r w:rsidRPr="00B66B4C">
        <w:rPr>
          <w:rFonts w:hint="eastAsia"/>
          <w:szCs w:val="21"/>
        </w:rPr>
        <w:t>112</w:t>
      </w:r>
      <w:r w:rsidRPr="00B66B4C">
        <w:rPr>
          <w:rFonts w:hint="eastAsia"/>
          <w:szCs w:val="21"/>
        </w:rPr>
        <w:t>頁以下、</w:t>
      </w:r>
      <w:r w:rsidRPr="00B66B4C">
        <w:rPr>
          <w:rFonts w:hint="eastAsia"/>
          <w:szCs w:val="21"/>
        </w:rPr>
        <w:t>126</w:t>
      </w:r>
      <w:r w:rsidRPr="00B66B4C">
        <w:rPr>
          <w:rFonts w:hint="eastAsia"/>
          <w:szCs w:val="21"/>
        </w:rPr>
        <w:t>頁、同「競争者排除型行為規制の理論的根拠</w:t>
      </w:r>
      <w:r w:rsidRPr="00B66B4C">
        <w:rPr>
          <w:rFonts w:hint="eastAsia"/>
          <w:szCs w:val="21"/>
        </w:rPr>
        <w:t>---</w:t>
      </w:r>
      <w:r w:rsidRPr="00B66B4C">
        <w:rPr>
          <w:rFonts w:hint="eastAsia"/>
          <w:szCs w:val="21"/>
        </w:rPr>
        <w:t>不公正な取引方法を中心に」公正取引</w:t>
      </w:r>
      <w:r w:rsidRPr="00B66B4C">
        <w:rPr>
          <w:rFonts w:hint="eastAsia"/>
          <w:szCs w:val="21"/>
        </w:rPr>
        <w:t>671</w:t>
      </w:r>
      <w:r w:rsidRPr="00B66B4C">
        <w:rPr>
          <w:rFonts w:hint="eastAsia"/>
          <w:szCs w:val="21"/>
        </w:rPr>
        <w:t>号</w:t>
      </w:r>
      <w:r w:rsidRPr="00B66B4C">
        <w:rPr>
          <w:rFonts w:hint="eastAsia"/>
          <w:szCs w:val="21"/>
        </w:rPr>
        <w:t>9</w:t>
      </w:r>
      <w:r w:rsidRPr="00B66B4C">
        <w:rPr>
          <w:rFonts w:hint="eastAsia"/>
          <w:szCs w:val="21"/>
        </w:rPr>
        <w:t>頁以下、</w:t>
      </w:r>
      <w:r w:rsidRPr="00B66B4C">
        <w:rPr>
          <w:rFonts w:hint="eastAsia"/>
          <w:szCs w:val="21"/>
        </w:rPr>
        <w:t>18</w:t>
      </w:r>
      <w:r w:rsidRPr="00B66B4C">
        <w:rPr>
          <w:rFonts w:hint="eastAsia"/>
          <w:szCs w:val="21"/>
        </w:rPr>
        <w:t>頁以下（</w:t>
      </w:r>
      <w:r w:rsidRPr="00B66B4C">
        <w:rPr>
          <w:rFonts w:hint="eastAsia"/>
          <w:szCs w:val="21"/>
        </w:rPr>
        <w:t>2006</w:t>
      </w:r>
      <w:r w:rsidRPr="00B66B4C">
        <w:rPr>
          <w:rFonts w:hint="eastAsia"/>
          <w:szCs w:val="21"/>
        </w:rPr>
        <w:t>年）、同「私的独占解釈論の現状と課題」日本経済法学会年報</w:t>
      </w:r>
      <w:r w:rsidRPr="00B66B4C">
        <w:rPr>
          <w:rFonts w:hint="eastAsia"/>
          <w:szCs w:val="21"/>
        </w:rPr>
        <w:t>28</w:t>
      </w:r>
      <w:r w:rsidRPr="00B66B4C">
        <w:rPr>
          <w:rFonts w:hint="eastAsia"/>
          <w:szCs w:val="21"/>
        </w:rPr>
        <w:t>号</w:t>
      </w:r>
      <w:r w:rsidRPr="00B66B4C">
        <w:rPr>
          <w:rFonts w:hint="eastAsia"/>
          <w:szCs w:val="21"/>
        </w:rPr>
        <w:t>20</w:t>
      </w:r>
      <w:r w:rsidRPr="00B66B4C">
        <w:rPr>
          <w:rFonts w:hint="eastAsia"/>
          <w:szCs w:val="21"/>
        </w:rPr>
        <w:t>頁以下､</w:t>
      </w:r>
      <w:r w:rsidRPr="00B66B4C">
        <w:rPr>
          <w:rFonts w:hint="eastAsia"/>
          <w:szCs w:val="21"/>
        </w:rPr>
        <w:t>26</w:t>
      </w:r>
      <w:r w:rsidRPr="00B66B4C">
        <w:rPr>
          <w:rFonts w:hint="eastAsia"/>
          <w:szCs w:val="21"/>
        </w:rPr>
        <w:t>頁</w:t>
      </w:r>
      <w:r w:rsidRPr="00B66B4C">
        <w:rPr>
          <w:rFonts w:hint="eastAsia"/>
          <w:szCs w:val="21"/>
        </w:rPr>
        <w:t>(2007</w:t>
      </w:r>
      <w:r w:rsidRPr="00B66B4C">
        <w:rPr>
          <w:rFonts w:hint="eastAsia"/>
          <w:szCs w:val="21"/>
        </w:rPr>
        <w:t>年</w:t>
      </w:r>
      <w:r w:rsidRPr="00B66B4C">
        <w:rPr>
          <w:rFonts w:hint="eastAsia"/>
          <w:szCs w:val="21"/>
        </w:rPr>
        <w:t>)</w:t>
      </w:r>
      <w:r w:rsidRPr="00B66B4C">
        <w:rPr>
          <w:rFonts w:hint="eastAsia"/>
          <w:szCs w:val="21"/>
        </w:rPr>
        <w:t>、根岸哲</w:t>
      </w:r>
      <w:r w:rsidRPr="00B66B4C">
        <w:rPr>
          <w:rFonts w:hint="eastAsia"/>
          <w:szCs w:val="21"/>
        </w:rPr>
        <w:t>(</w:t>
      </w:r>
      <w:r w:rsidRPr="00B66B4C">
        <w:rPr>
          <w:rFonts w:hint="eastAsia"/>
          <w:szCs w:val="21"/>
        </w:rPr>
        <w:t>編</w:t>
      </w:r>
      <w:r w:rsidRPr="00B66B4C">
        <w:rPr>
          <w:rFonts w:hint="eastAsia"/>
          <w:szCs w:val="21"/>
        </w:rPr>
        <w:t>)</w:t>
      </w:r>
      <w:r w:rsidRPr="00B66B4C">
        <w:rPr>
          <w:rFonts w:hint="eastAsia"/>
          <w:szCs w:val="21"/>
        </w:rPr>
        <w:t>『注釈独占禁止法』（有斐閣、</w:t>
      </w:r>
      <w:r w:rsidRPr="00B66B4C">
        <w:rPr>
          <w:rFonts w:hint="eastAsia"/>
          <w:szCs w:val="21"/>
        </w:rPr>
        <w:t>2009</w:t>
      </w:r>
      <w:r w:rsidRPr="00B66B4C">
        <w:rPr>
          <w:rFonts w:hint="eastAsia"/>
          <w:szCs w:val="21"/>
        </w:rPr>
        <w:t>年）</w:t>
      </w:r>
      <w:r w:rsidRPr="00B66B4C">
        <w:rPr>
          <w:rFonts w:hint="eastAsia"/>
          <w:szCs w:val="21"/>
        </w:rPr>
        <w:t>41</w:t>
      </w:r>
      <w:r w:rsidRPr="00B66B4C">
        <w:rPr>
          <w:rFonts w:hint="eastAsia"/>
          <w:szCs w:val="21"/>
        </w:rPr>
        <w:t>頁以下（川濵昇執筆部分）、金井・川濵・泉水編『独占禁止法（第</w:t>
      </w:r>
      <w:r w:rsidRPr="00B66B4C">
        <w:rPr>
          <w:rFonts w:hint="eastAsia"/>
          <w:szCs w:val="21"/>
        </w:rPr>
        <w:t>3</w:t>
      </w:r>
      <w:r w:rsidRPr="00B66B4C">
        <w:rPr>
          <w:rFonts w:hint="eastAsia"/>
          <w:szCs w:val="21"/>
        </w:rPr>
        <w:t>版）』（弘文堂、</w:t>
      </w:r>
      <w:r w:rsidRPr="00B66B4C">
        <w:rPr>
          <w:rFonts w:hint="eastAsia"/>
          <w:szCs w:val="21"/>
        </w:rPr>
        <w:t>2010</w:t>
      </w:r>
      <w:r w:rsidRPr="00B66B4C">
        <w:rPr>
          <w:rFonts w:hint="eastAsia"/>
          <w:szCs w:val="21"/>
        </w:rPr>
        <w:t>年）第</w:t>
      </w:r>
      <w:r w:rsidRPr="00B66B4C">
        <w:rPr>
          <w:rFonts w:hint="eastAsia"/>
          <w:szCs w:val="21"/>
        </w:rPr>
        <w:t>5</w:t>
      </w:r>
      <w:r w:rsidRPr="00B66B4C">
        <w:rPr>
          <w:rFonts w:hint="eastAsia"/>
          <w:szCs w:val="21"/>
        </w:rPr>
        <w:t>章、特に</w:t>
      </w:r>
      <w:r w:rsidRPr="00B66B4C">
        <w:rPr>
          <w:rFonts w:hint="eastAsia"/>
          <w:szCs w:val="21"/>
        </w:rPr>
        <w:t>153</w:t>
      </w:r>
      <w:r w:rsidRPr="00B66B4C">
        <w:rPr>
          <w:rFonts w:hint="eastAsia"/>
          <w:szCs w:val="21"/>
        </w:rPr>
        <w:t>頁以下（山部俊文執筆部分）、川濵・前注</w:t>
      </w:r>
      <w:r w:rsidRPr="00B66B4C">
        <w:rPr>
          <w:rFonts w:hint="eastAsia"/>
          <w:szCs w:val="21"/>
        </w:rPr>
        <w:t>21</w:t>
      </w:r>
      <w:r w:rsidRPr="00B66B4C">
        <w:rPr>
          <w:rFonts w:hint="eastAsia"/>
          <w:szCs w:val="21"/>
        </w:rPr>
        <w:t>公正取引</w:t>
      </w:r>
      <w:r w:rsidRPr="00B66B4C">
        <w:rPr>
          <w:rFonts w:hint="eastAsia"/>
          <w:szCs w:val="21"/>
        </w:rPr>
        <w:t>736</w:t>
      </w:r>
      <w:r w:rsidRPr="00B66B4C">
        <w:rPr>
          <w:rFonts w:hint="eastAsia"/>
          <w:szCs w:val="21"/>
        </w:rPr>
        <w:t>号</w:t>
      </w:r>
      <w:r w:rsidRPr="00B66B4C">
        <w:rPr>
          <w:rFonts w:hint="eastAsia"/>
          <w:szCs w:val="21"/>
        </w:rPr>
        <w:t>9</w:t>
      </w:r>
      <w:r w:rsidRPr="00B66B4C">
        <w:rPr>
          <w:rFonts w:hint="eastAsia"/>
          <w:szCs w:val="21"/>
        </w:rPr>
        <w:t>頁以下､</w:t>
      </w:r>
      <w:r w:rsidRPr="00B66B4C">
        <w:rPr>
          <w:rFonts w:hint="eastAsia"/>
          <w:szCs w:val="21"/>
        </w:rPr>
        <w:t>12</w:t>
      </w:r>
      <w:r w:rsidRPr="00B66B4C">
        <w:rPr>
          <w:rFonts w:hint="eastAsia"/>
          <w:szCs w:val="21"/>
        </w:rPr>
        <w:t>頁等を参照。</w:t>
      </w:r>
    </w:p>
    <w:p w:rsidR="00B66B4C" w:rsidRPr="00B66B4C" w:rsidRDefault="00B66B4C" w:rsidP="00B2077F">
      <w:pPr>
        <w:ind w:left="99" w:firstLineChars="100" w:firstLine="240"/>
        <w:rPr>
          <w:sz w:val="24"/>
          <w:szCs w:val="24"/>
        </w:rPr>
      </w:pPr>
    </w:p>
    <w:p w:rsidR="00B2077F" w:rsidRPr="00360F06" w:rsidRDefault="00B2077F" w:rsidP="00B2077F">
      <w:pPr>
        <w:ind w:left="113" w:hangingChars="47" w:hanging="113"/>
        <w:rPr>
          <w:sz w:val="24"/>
          <w:szCs w:val="24"/>
        </w:rPr>
      </w:pPr>
      <w:r>
        <w:rPr>
          <w:rFonts w:hint="eastAsia"/>
          <w:sz w:val="24"/>
          <w:szCs w:val="24"/>
        </w:rPr>
        <w:lastRenderedPageBreak/>
        <w:t>（５</w:t>
      </w:r>
      <w:r w:rsidRPr="00360F06">
        <w:rPr>
          <w:rFonts w:hint="eastAsia"/>
          <w:sz w:val="24"/>
          <w:szCs w:val="24"/>
        </w:rPr>
        <w:t>）この観点から、これまで具体的に取り上げられてきた排他的取引の事例をみてみれば、他の事業者の競争する能力を低下させる行為には、例えば、取引の相手方が、自己の競争者と取引できないように物理的に障壁を設ける等の直接行動がある。これも、「ライバル費用の引き上げ行為」の</w:t>
      </w:r>
      <w:r w:rsidRPr="00360F06">
        <w:rPr>
          <w:rFonts w:hint="eastAsia"/>
          <w:sz w:val="24"/>
          <w:szCs w:val="24"/>
        </w:rPr>
        <w:t>1</w:t>
      </w:r>
      <w:r w:rsidRPr="00360F06">
        <w:rPr>
          <w:rFonts w:hint="eastAsia"/>
          <w:sz w:val="24"/>
          <w:szCs w:val="24"/>
        </w:rPr>
        <w:t>例といえる。</w:t>
      </w:r>
    </w:p>
    <w:p w:rsidR="00B2077F" w:rsidRPr="00360F06" w:rsidRDefault="00B2077F" w:rsidP="00B2077F">
      <w:pPr>
        <w:ind w:left="99" w:firstLineChars="0" w:firstLine="0"/>
        <w:rPr>
          <w:sz w:val="24"/>
          <w:szCs w:val="24"/>
        </w:rPr>
      </w:pPr>
      <w:r w:rsidRPr="00360F06">
        <w:rPr>
          <w:rFonts w:hint="eastAsia"/>
          <w:sz w:val="24"/>
          <w:szCs w:val="24"/>
        </w:rPr>
        <w:t xml:space="preserve">　しかし、そのような物理的な妨害は実際には稀であり、従来から「ライバル費用の引き上げ行為」の具体例として議論されてきたことの</w:t>
      </w:r>
      <w:r w:rsidRPr="00360F06">
        <w:rPr>
          <w:rFonts w:hint="eastAsia"/>
          <w:sz w:val="24"/>
          <w:szCs w:val="24"/>
        </w:rPr>
        <w:t>1</w:t>
      </w:r>
      <w:r w:rsidRPr="00360F06">
        <w:rPr>
          <w:rFonts w:hint="eastAsia"/>
          <w:sz w:val="24"/>
          <w:szCs w:val="24"/>
        </w:rPr>
        <w:t>つが、ここで問題とされている契約に基づく排他的取引である。</w:t>
      </w:r>
    </w:p>
    <w:p w:rsidR="00B2077F" w:rsidRPr="00360F06" w:rsidRDefault="00B2077F" w:rsidP="00B2077F">
      <w:pPr>
        <w:ind w:left="99" w:firstLineChars="100" w:firstLine="240"/>
        <w:rPr>
          <w:sz w:val="24"/>
          <w:szCs w:val="24"/>
        </w:rPr>
      </w:pPr>
      <w:r w:rsidRPr="00360F06">
        <w:rPr>
          <w:rFonts w:hint="eastAsia"/>
          <w:sz w:val="24"/>
          <w:szCs w:val="24"/>
        </w:rPr>
        <w:t>例えば、日米経済構造協議（</w:t>
      </w:r>
      <w:r w:rsidRPr="00360F06">
        <w:rPr>
          <w:rFonts w:hint="eastAsia"/>
          <w:sz w:val="24"/>
          <w:szCs w:val="24"/>
        </w:rPr>
        <w:t>1990</w:t>
      </w:r>
      <w:r w:rsidRPr="00360F06">
        <w:rPr>
          <w:rFonts w:hint="eastAsia"/>
          <w:sz w:val="24"/>
          <w:szCs w:val="24"/>
        </w:rPr>
        <w:t>年最終報告）においては、日本の自動車メーカーがそれぞれ自前で構築した販売網を通じて自動車を販売しているため、外国のメーカーが日本で販売するためには、輸入総代理店制度を利用するほかはなく、競争上不利であり、これは日本産業における「取引の排他性」の象徴だという批判がなされた。輸入総代理店と比べ、全国網としての販売店システムは、全国どこでもきめの細かいサービスを提供でき､強力な販売力を維持することができるからである。</w:t>
      </w:r>
    </w:p>
    <w:p w:rsidR="00B2077F" w:rsidRPr="00360F06" w:rsidRDefault="00B2077F" w:rsidP="00B2077F">
      <w:pPr>
        <w:ind w:left="99" w:firstLineChars="100" w:firstLine="240"/>
        <w:rPr>
          <w:sz w:val="24"/>
          <w:szCs w:val="24"/>
        </w:rPr>
      </w:pPr>
      <w:r w:rsidRPr="00360F06">
        <w:rPr>
          <w:rFonts w:hint="eastAsia"/>
          <w:sz w:val="24"/>
          <w:szCs w:val="24"/>
        </w:rPr>
        <w:t>日本のメーカーは、この批判に応えて、それぞれ自己の販売店で、提携先の外国メーカーの自動車を販売するという方向をとることになった。その後、日本でも外国メーカーの自動車の販売量が次第に増加するにつれ、各外国メーカーは自己の販売網を整備するようになったが、日本のメーカーの販売網に比べると貧弱であり、現在の</w:t>
      </w:r>
      <w:r w:rsidRPr="00360F06">
        <w:rPr>
          <w:rFonts w:hint="eastAsia"/>
          <w:sz w:val="24"/>
          <w:szCs w:val="24"/>
        </w:rPr>
        <w:t>TPP</w:t>
      </w:r>
      <w:r w:rsidRPr="00360F06">
        <w:rPr>
          <w:rFonts w:hint="eastAsia"/>
          <w:sz w:val="24"/>
          <w:szCs w:val="24"/>
        </w:rPr>
        <w:t>を契機とした日米協議でも、米国側がこの点を流通制度の閉鎖性として攻撃しているようである。</w:t>
      </w:r>
    </w:p>
    <w:p w:rsidR="00B2077F" w:rsidRPr="00360F06" w:rsidRDefault="00B2077F" w:rsidP="00B2077F">
      <w:pPr>
        <w:ind w:left="99" w:firstLineChars="0" w:firstLine="0"/>
        <w:rPr>
          <w:sz w:val="24"/>
          <w:szCs w:val="24"/>
        </w:rPr>
      </w:pPr>
      <w:r w:rsidRPr="00360F06">
        <w:rPr>
          <w:rFonts w:hint="eastAsia"/>
          <w:sz w:val="24"/>
          <w:szCs w:val="24"/>
        </w:rPr>
        <w:t xml:space="preserve">　この例のように、日本のメーカーがそれぞれ自己の販売店と排他条件付取引をすると、それ以外のメーカーは、新規参入して対等に競争するために、それぞれ独自に販売網を作らざるを得ず、これはかなりのコストや手間暇がかかるので、「ライバル費用の引き上げ行為」という性格を有するということになる。</w:t>
      </w:r>
    </w:p>
    <w:p w:rsidR="00B2077F" w:rsidRPr="00360F06" w:rsidRDefault="00B2077F" w:rsidP="00B2077F">
      <w:pPr>
        <w:ind w:left="0" w:firstLineChars="0" w:firstLine="0"/>
        <w:rPr>
          <w:sz w:val="24"/>
          <w:szCs w:val="24"/>
        </w:rPr>
      </w:pPr>
    </w:p>
    <w:p w:rsidR="00B2077F" w:rsidRPr="00360F06" w:rsidRDefault="00B2077F" w:rsidP="00B2077F">
      <w:pPr>
        <w:ind w:left="113" w:hangingChars="47" w:hanging="113"/>
        <w:rPr>
          <w:sz w:val="24"/>
          <w:szCs w:val="24"/>
        </w:rPr>
      </w:pPr>
      <w:r>
        <w:rPr>
          <w:rFonts w:hint="eastAsia"/>
          <w:sz w:val="24"/>
          <w:szCs w:val="24"/>
        </w:rPr>
        <w:t>（６</w:t>
      </w:r>
      <w:r w:rsidRPr="00360F06">
        <w:rPr>
          <w:rFonts w:hint="eastAsia"/>
          <w:sz w:val="24"/>
          <w:szCs w:val="24"/>
        </w:rPr>
        <w:t>）以上のことを本件事案に当てはめれば、</w:t>
      </w:r>
      <w:proofErr w:type="spellStart"/>
      <w:r w:rsidRPr="00360F06">
        <w:rPr>
          <w:rFonts w:hint="eastAsia"/>
          <w:sz w:val="24"/>
          <w:szCs w:val="24"/>
        </w:rPr>
        <w:t>DeNA</w:t>
      </w:r>
      <w:proofErr w:type="spellEnd"/>
      <w:r w:rsidRPr="00360F06">
        <w:rPr>
          <w:rFonts w:hint="eastAsia"/>
          <w:sz w:val="24"/>
          <w:szCs w:val="24"/>
        </w:rPr>
        <w:t>の本件行為によって、グリーは有力</w:t>
      </w:r>
      <w:r w:rsidRPr="00360F06">
        <w:rPr>
          <w:rFonts w:hint="eastAsia"/>
          <w:sz w:val="24"/>
          <w:szCs w:val="24"/>
        </w:rPr>
        <w:t>SAP</w:t>
      </w:r>
      <w:r w:rsidRPr="00360F06">
        <w:rPr>
          <w:rFonts w:hint="eastAsia"/>
          <w:sz w:val="24"/>
          <w:szCs w:val="24"/>
        </w:rPr>
        <w:t>のゲームを取り入れて、ユーザーに提供することが著しく困難になっている。</w:t>
      </w:r>
    </w:p>
    <w:p w:rsidR="00B2077F" w:rsidRPr="00360F06" w:rsidRDefault="00B2077F" w:rsidP="00B2077F">
      <w:pPr>
        <w:ind w:left="99" w:firstLineChars="100" w:firstLine="240"/>
        <w:rPr>
          <w:sz w:val="24"/>
          <w:szCs w:val="24"/>
        </w:rPr>
      </w:pPr>
      <w:proofErr w:type="spellStart"/>
      <w:r w:rsidRPr="00360F06">
        <w:rPr>
          <w:rFonts w:hint="eastAsia"/>
          <w:sz w:val="24"/>
          <w:szCs w:val="24"/>
        </w:rPr>
        <w:t>DeNA</w:t>
      </w:r>
      <w:proofErr w:type="spellEnd"/>
      <w:r w:rsidRPr="00360F06">
        <w:rPr>
          <w:rFonts w:hint="eastAsia"/>
          <w:sz w:val="24"/>
          <w:szCs w:val="24"/>
        </w:rPr>
        <w:t>と同様に、グリーも、それぞれの内製ゲームではサービスの成長・売上増に限界があるという認識から、外部の事業者によるゲーム提供という新しいビジネスモデルに基づくサービス形態（本件でいう「オープン化」）を開始したという状況をふまえれば、</w:t>
      </w:r>
      <w:proofErr w:type="spellStart"/>
      <w:r w:rsidRPr="00360F06">
        <w:rPr>
          <w:rFonts w:hint="eastAsia"/>
          <w:sz w:val="24"/>
          <w:szCs w:val="24"/>
        </w:rPr>
        <w:t>DeNA</w:t>
      </w:r>
      <w:proofErr w:type="spellEnd"/>
      <w:r w:rsidRPr="00360F06">
        <w:rPr>
          <w:rFonts w:hint="eastAsia"/>
          <w:sz w:val="24"/>
          <w:szCs w:val="24"/>
        </w:rPr>
        <w:t>の本件行為は、グリーによるオープン化によるサービスという新分野への新規参入を阻止しようとしたものと捉えられる。</w:t>
      </w:r>
    </w:p>
    <w:p w:rsidR="00B2077F" w:rsidRPr="00360F06" w:rsidRDefault="00B2077F" w:rsidP="00B2077F">
      <w:pPr>
        <w:ind w:left="99" w:firstLineChars="100" w:firstLine="240"/>
        <w:rPr>
          <w:sz w:val="24"/>
          <w:szCs w:val="24"/>
        </w:rPr>
      </w:pPr>
      <w:r w:rsidRPr="00360F06">
        <w:rPr>
          <w:rFonts w:hint="eastAsia"/>
          <w:sz w:val="24"/>
          <w:szCs w:val="24"/>
        </w:rPr>
        <w:t>数多くの</w:t>
      </w:r>
      <w:r w:rsidRPr="00360F06">
        <w:rPr>
          <w:sz w:val="24"/>
          <w:szCs w:val="24"/>
        </w:rPr>
        <w:t>SAP</w:t>
      </w:r>
      <w:r w:rsidRPr="00360F06">
        <w:rPr>
          <w:rFonts w:hint="eastAsia"/>
          <w:sz w:val="24"/>
          <w:szCs w:val="24"/>
        </w:rPr>
        <w:t>の中でも、有力な</w:t>
      </w:r>
      <w:r w:rsidRPr="00360F06">
        <w:rPr>
          <w:sz w:val="24"/>
          <w:szCs w:val="24"/>
        </w:rPr>
        <w:t>SAP</w:t>
      </w:r>
      <w:r w:rsidRPr="00360F06">
        <w:rPr>
          <w:rFonts w:hint="eastAsia"/>
          <w:sz w:val="24"/>
          <w:szCs w:val="24"/>
        </w:rPr>
        <w:t>は少数であり、グリーが</w:t>
      </w:r>
      <w:proofErr w:type="spellStart"/>
      <w:r w:rsidRPr="00360F06">
        <w:rPr>
          <w:rFonts w:hint="eastAsia"/>
          <w:sz w:val="24"/>
          <w:szCs w:val="24"/>
        </w:rPr>
        <w:t>DeNA</w:t>
      </w:r>
      <w:proofErr w:type="spellEnd"/>
      <w:r w:rsidRPr="00360F06">
        <w:rPr>
          <w:rFonts w:hint="eastAsia"/>
          <w:sz w:val="24"/>
          <w:szCs w:val="24"/>
        </w:rPr>
        <w:t>の本件行為によってこれら有力な特定</w:t>
      </w:r>
      <w:r w:rsidRPr="00360F06">
        <w:rPr>
          <w:rFonts w:hint="eastAsia"/>
          <w:sz w:val="24"/>
          <w:szCs w:val="24"/>
        </w:rPr>
        <w:t>SAP</w:t>
      </w:r>
      <w:r w:rsidRPr="00360F06">
        <w:rPr>
          <w:rFonts w:hint="eastAsia"/>
          <w:sz w:val="24"/>
          <w:szCs w:val="24"/>
        </w:rPr>
        <w:t>と取引できないということは、グリーが特定</w:t>
      </w:r>
      <w:r w:rsidRPr="00360F06">
        <w:rPr>
          <w:rFonts w:hint="eastAsia"/>
          <w:sz w:val="24"/>
          <w:szCs w:val="24"/>
        </w:rPr>
        <w:t>SAP</w:t>
      </w:r>
      <w:r w:rsidRPr="00360F06">
        <w:rPr>
          <w:rFonts w:hint="eastAsia"/>
          <w:sz w:val="24"/>
          <w:szCs w:val="24"/>
        </w:rPr>
        <w:t>と取引するための費用を引き上げたということになる。「ライバル費用の引き上げ行為」には、このように実際には実現できなかったという損失も含まれる。あるいは、グリーが特定</w:t>
      </w:r>
      <w:r w:rsidRPr="00360F06">
        <w:rPr>
          <w:rFonts w:hint="eastAsia"/>
          <w:sz w:val="24"/>
          <w:szCs w:val="24"/>
        </w:rPr>
        <w:t>SAP</w:t>
      </w:r>
      <w:r w:rsidRPr="00360F06">
        <w:rPr>
          <w:rFonts w:hint="eastAsia"/>
          <w:sz w:val="24"/>
          <w:szCs w:val="24"/>
        </w:rPr>
        <w:t>と取引するために高額な支援を行えば可能かもしれず、それも本件行為によって新たに発生した費用と考えることができる（「ライバル費用の引き上げ行為」論における「費用」は、実際にかかった費用だけを指すものではなく、「機会費用」などの経済学上の費用概念である）。</w:t>
      </w:r>
    </w:p>
    <w:p w:rsidR="00B2077F" w:rsidRDefault="00B2077F" w:rsidP="00B2077F">
      <w:pPr>
        <w:ind w:left="99" w:firstLineChars="100" w:firstLine="240"/>
        <w:rPr>
          <w:sz w:val="24"/>
          <w:szCs w:val="24"/>
        </w:rPr>
      </w:pPr>
      <w:r w:rsidRPr="00360F06">
        <w:rPr>
          <w:rFonts w:hint="eastAsia"/>
          <w:sz w:val="24"/>
          <w:szCs w:val="24"/>
        </w:rPr>
        <w:t>以上のように、</w:t>
      </w:r>
      <w:proofErr w:type="spellStart"/>
      <w:r w:rsidRPr="00360F06">
        <w:rPr>
          <w:rFonts w:hint="eastAsia"/>
          <w:sz w:val="24"/>
          <w:szCs w:val="24"/>
        </w:rPr>
        <w:t>DeNA</w:t>
      </w:r>
      <w:proofErr w:type="spellEnd"/>
      <w:r w:rsidRPr="00360F06">
        <w:rPr>
          <w:rFonts w:hint="eastAsia"/>
          <w:sz w:val="24"/>
          <w:szCs w:val="24"/>
        </w:rPr>
        <w:t>の本件行為は、ライバル（競争者）であるグリーが、「オープン化」によるサービス提供という新分野への新規参入のための費用を著しく引き</w:t>
      </w:r>
      <w:r w:rsidRPr="00360F06">
        <w:rPr>
          <w:rFonts w:hint="eastAsia"/>
          <w:sz w:val="24"/>
          <w:szCs w:val="24"/>
        </w:rPr>
        <w:lastRenderedPageBreak/>
        <w:t>上げた</w:t>
      </w:r>
      <w:r>
        <w:rPr>
          <w:rFonts w:hint="eastAsia"/>
          <w:sz w:val="24"/>
          <w:szCs w:val="24"/>
        </w:rPr>
        <w:t>という性格をもつ行為であり、私的独占における「排除」も当たると解される</w:t>
      </w:r>
      <w:r w:rsidRPr="00360F06">
        <w:rPr>
          <w:rFonts w:hint="eastAsia"/>
          <w:sz w:val="24"/>
          <w:szCs w:val="24"/>
        </w:rPr>
        <w:t>。</w:t>
      </w:r>
    </w:p>
    <w:p w:rsidR="00B2077F" w:rsidRPr="00360F06" w:rsidRDefault="00B66B4C" w:rsidP="00B2077F">
      <w:pPr>
        <w:ind w:left="99" w:firstLineChars="100" w:firstLine="240"/>
        <w:rPr>
          <w:sz w:val="24"/>
          <w:szCs w:val="24"/>
        </w:rPr>
      </w:pPr>
      <w:r>
        <w:rPr>
          <w:rFonts w:hint="eastAsia"/>
          <w:sz w:val="24"/>
          <w:szCs w:val="24"/>
        </w:rPr>
        <w:t>ばお、</w:t>
      </w:r>
      <w:r w:rsidR="00B2077F">
        <w:rPr>
          <w:rFonts w:hint="eastAsia"/>
          <w:sz w:val="24"/>
          <w:szCs w:val="24"/>
        </w:rPr>
        <w:t>本件行為が私的独占に当たるとするためには、「排除」要件を満たすだけでなく、</w:t>
      </w:r>
      <w:r w:rsidR="00B2077F" w:rsidRPr="00360F06">
        <w:rPr>
          <w:rFonts w:hint="eastAsia"/>
          <w:sz w:val="24"/>
          <w:szCs w:val="24"/>
        </w:rPr>
        <w:t>「競争を実質的に制限」するものであ</w:t>
      </w:r>
      <w:r w:rsidR="00B2077F">
        <w:rPr>
          <w:rFonts w:hint="eastAsia"/>
          <w:sz w:val="24"/>
          <w:szCs w:val="24"/>
        </w:rPr>
        <w:t>ることが必要である。この点は、「競争の減殺」について述べた（</w:t>
      </w:r>
      <w:r>
        <w:rPr>
          <w:rFonts w:hint="eastAsia"/>
          <w:sz w:val="24"/>
          <w:szCs w:val="24"/>
        </w:rPr>
        <w:t>本論文における</w:t>
      </w:r>
      <w:r w:rsidR="00B2077F">
        <w:rPr>
          <w:rFonts w:hint="eastAsia"/>
          <w:sz w:val="24"/>
          <w:szCs w:val="24"/>
        </w:rPr>
        <w:t>ニプロ事件に触れた箇所を参照）。</w:t>
      </w:r>
    </w:p>
    <w:p w:rsidR="00B2077F" w:rsidRPr="00B2077F" w:rsidRDefault="00B2077F" w:rsidP="00B2077F">
      <w:pPr>
        <w:ind w:left="210" w:hanging="210"/>
      </w:pPr>
    </w:p>
    <w:p w:rsidR="00286922" w:rsidRPr="00286922" w:rsidRDefault="00286922" w:rsidP="00F12970">
      <w:pPr>
        <w:ind w:left="0" w:firstLineChars="0" w:firstLine="0"/>
      </w:pPr>
    </w:p>
    <w:p w:rsidR="00C214DF" w:rsidRDefault="001D7633" w:rsidP="001D7633">
      <w:pPr>
        <w:pStyle w:val="af0"/>
        <w:numPr>
          <w:ilvl w:val="0"/>
          <w:numId w:val="2"/>
        </w:numPr>
        <w:ind w:leftChars="0" w:firstLineChars="0"/>
        <w:rPr>
          <w:rFonts w:hint="eastAsia"/>
        </w:rPr>
      </w:pPr>
      <w:r>
        <w:rPr>
          <w:rFonts w:hint="eastAsia"/>
        </w:rPr>
        <w:t>本論文脱稿後に、以下の文献に接した。</w:t>
      </w:r>
    </w:p>
    <w:p w:rsidR="001D7633" w:rsidRDefault="001D7633" w:rsidP="001D7633">
      <w:pPr>
        <w:pStyle w:val="af0"/>
        <w:ind w:leftChars="0" w:left="360" w:firstLineChars="0" w:firstLine="0"/>
        <w:rPr>
          <w:rFonts w:hint="eastAsia"/>
        </w:rPr>
      </w:pPr>
      <w:bookmarkStart w:id="0" w:name="_GoBack"/>
      <w:bookmarkEnd w:id="0"/>
    </w:p>
    <w:p w:rsidR="001D7633" w:rsidRPr="001D7633" w:rsidRDefault="001D7633" w:rsidP="001D7633">
      <w:pPr>
        <w:ind w:left="0" w:firstLineChars="0" w:firstLine="0"/>
        <w:rPr>
          <w:rFonts w:hint="eastAsia"/>
        </w:rPr>
      </w:pPr>
      <w:r w:rsidRPr="001D7633">
        <w:rPr>
          <w:rFonts w:hint="eastAsia"/>
        </w:rPr>
        <w:t>河谷清文「上位レイヤーにおける競争と手段の不公正」根岸哲先生古希記念祝賀『競争法の理論と課題』（有斐閣、</w:t>
      </w:r>
      <w:r w:rsidRPr="001D7633">
        <w:rPr>
          <w:rFonts w:hint="eastAsia"/>
        </w:rPr>
        <w:t>2013</w:t>
      </w:r>
      <w:r w:rsidRPr="001D7633">
        <w:rPr>
          <w:rFonts w:hint="eastAsia"/>
        </w:rPr>
        <w:t>年）</w:t>
      </w:r>
      <w:r w:rsidRPr="001D7633">
        <w:rPr>
          <w:rFonts w:hint="eastAsia"/>
        </w:rPr>
        <w:t>323</w:t>
      </w:r>
      <w:r w:rsidRPr="001D7633">
        <w:rPr>
          <w:rFonts w:hint="eastAsia"/>
        </w:rPr>
        <w:t>頁以下</w:t>
      </w:r>
    </w:p>
    <w:p w:rsidR="001D7633" w:rsidRPr="001D7633" w:rsidRDefault="001D7633" w:rsidP="001D7633">
      <w:pPr>
        <w:ind w:left="0" w:firstLineChars="0" w:firstLine="0"/>
        <w:rPr>
          <w:rFonts w:hint="eastAsia"/>
        </w:rPr>
      </w:pPr>
    </w:p>
    <w:p w:rsidR="001D7633" w:rsidRPr="001D7633" w:rsidRDefault="001D7633" w:rsidP="001D7633">
      <w:pPr>
        <w:ind w:left="0" w:firstLineChars="0" w:firstLine="0"/>
      </w:pPr>
      <w:r w:rsidRPr="001D7633">
        <w:rPr>
          <w:rFonts w:hint="eastAsia"/>
        </w:rPr>
        <w:t>NERA</w:t>
      </w:r>
      <w:r w:rsidRPr="001D7633">
        <w:rPr>
          <w:rFonts w:hint="eastAsia"/>
        </w:rPr>
        <w:t>平成</w:t>
      </w:r>
      <w:r w:rsidRPr="001D7633">
        <w:t>24</w:t>
      </w:r>
      <w:r w:rsidRPr="001D7633">
        <w:rPr>
          <w:rFonts w:hint="eastAsia"/>
        </w:rPr>
        <w:t>年度我が国経済構造に関する競争政策的観点からの調査研究（プラットフォーム関連事業に関する理論分析）（</w:t>
      </w:r>
      <w:r w:rsidRPr="001D7633">
        <w:rPr>
          <w:rFonts w:hint="eastAsia"/>
        </w:rPr>
        <w:t>2013</w:t>
      </w:r>
      <w:r w:rsidRPr="001D7633">
        <w:rPr>
          <w:rFonts w:hint="eastAsia"/>
        </w:rPr>
        <w:t>年）</w:t>
      </w:r>
    </w:p>
    <w:p w:rsidR="001D7633" w:rsidRPr="001D7633" w:rsidRDefault="001D7633" w:rsidP="001D7633">
      <w:pPr>
        <w:ind w:left="0" w:firstLineChars="0" w:firstLine="0"/>
        <w:rPr>
          <w:rFonts w:hint="eastAsia"/>
        </w:rPr>
      </w:pPr>
      <w:hyperlink r:id="rId10" w:tgtFrame="_blank" w:history="1">
        <w:r w:rsidRPr="001D7633">
          <w:rPr>
            <w:rStyle w:val="af"/>
          </w:rPr>
          <w:t>http://www.meti.go.jp/meti_lib/</w:t>
        </w:r>
        <w:r w:rsidRPr="001D7633">
          <w:rPr>
            <w:rStyle w:val="af"/>
          </w:rPr>
          <w:t>r</w:t>
        </w:r>
        <w:r w:rsidRPr="001D7633">
          <w:rPr>
            <w:rStyle w:val="af"/>
          </w:rPr>
          <w:t>eport/2013fy/E003170.pdf</w:t>
        </w:r>
      </w:hyperlink>
    </w:p>
    <w:p w:rsidR="001D7633" w:rsidRPr="001D7633" w:rsidRDefault="001D7633" w:rsidP="001D7633">
      <w:pPr>
        <w:ind w:left="0" w:firstLineChars="0" w:firstLine="0"/>
      </w:pPr>
    </w:p>
    <w:sectPr w:rsidR="001D7633" w:rsidRPr="001D7633" w:rsidSect="00C214DF">
      <w:headerReference w:type="even" r:id="rId11"/>
      <w:headerReference w:type="default" r:id="rId12"/>
      <w:footerReference w:type="even" r:id="rId13"/>
      <w:footerReference w:type="default" r:id="rId14"/>
      <w:headerReference w:type="first" r:id="rId15"/>
      <w:footerReference w:type="first" r:id="rId16"/>
      <w:footnotePr>
        <w:pos w:val="beneathText"/>
        <w:numFmt w:val="decimalFullWidth"/>
      </w:footnotePr>
      <w:endnotePr>
        <w:numFmt w:val="decimalFullWidth"/>
      </w:endnotePr>
      <w:pgSz w:w="11907" w:h="16840" w:code="9"/>
      <w:pgMar w:top="1701" w:right="1134" w:bottom="1134" w:left="1701" w:header="851" w:footer="992" w:gutter="0"/>
      <w:cols w:space="425"/>
      <w:docGrid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21" w:rsidRDefault="00E92C21" w:rsidP="00C214DF">
      <w:pPr>
        <w:spacing w:line="240" w:lineRule="auto"/>
        <w:ind w:left="210" w:hanging="210"/>
      </w:pPr>
      <w:r>
        <w:separator/>
      </w:r>
    </w:p>
  </w:endnote>
  <w:endnote w:type="continuationSeparator" w:id="0">
    <w:p w:rsidR="00E92C21" w:rsidRDefault="00E92C21" w:rsidP="00C214DF">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F" w:rsidRDefault="00DE0B6F" w:rsidP="00DE0B6F">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F" w:rsidRDefault="00A73687" w:rsidP="00DE0B6F">
    <w:pPr>
      <w:pStyle w:val="a5"/>
      <w:ind w:left="210" w:hanging="210"/>
      <w:jc w:val="center"/>
    </w:pPr>
    <w:r>
      <w:fldChar w:fldCharType="begin"/>
    </w:r>
    <w:r w:rsidR="00DE0B6F">
      <w:instrText>PAGE   \* MERGEFORMAT</w:instrText>
    </w:r>
    <w:r>
      <w:fldChar w:fldCharType="separate"/>
    </w:r>
    <w:r w:rsidR="001D7633" w:rsidRPr="001D7633">
      <w:rPr>
        <w:noProof/>
        <w:lang w:val="ja-JP"/>
      </w:rPr>
      <w:t>6</w:t>
    </w:r>
    <w:r>
      <w:fldChar w:fldCharType="end"/>
    </w:r>
  </w:p>
  <w:p w:rsidR="00DE0B6F" w:rsidRDefault="00DE0B6F" w:rsidP="00DE0B6F">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F" w:rsidRDefault="00DE0B6F" w:rsidP="00DE0B6F">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21" w:rsidRDefault="00E92C21" w:rsidP="00C214DF">
      <w:pPr>
        <w:spacing w:line="240" w:lineRule="auto"/>
        <w:ind w:left="210" w:hanging="210"/>
      </w:pPr>
      <w:r>
        <w:separator/>
      </w:r>
    </w:p>
  </w:footnote>
  <w:footnote w:type="continuationSeparator" w:id="0">
    <w:p w:rsidR="00E92C21" w:rsidRDefault="00E92C21" w:rsidP="00C214DF">
      <w:pPr>
        <w:spacing w:line="240" w:lineRule="auto"/>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F" w:rsidRDefault="00DE0B6F" w:rsidP="00DE0B6F">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F" w:rsidRDefault="00DE0B6F" w:rsidP="00DE0B6F">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F" w:rsidRDefault="00DE0B6F" w:rsidP="00DE0B6F">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0B2"/>
    <w:multiLevelType w:val="hybridMultilevel"/>
    <w:tmpl w:val="3DA2FB70"/>
    <w:lvl w:ilvl="0" w:tplc="596A93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B057AF"/>
    <w:multiLevelType w:val="hybridMultilevel"/>
    <w:tmpl w:val="F424A01C"/>
    <w:lvl w:ilvl="0" w:tplc="03CAA44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numFmt w:val="decimalFullWidth"/>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4DF"/>
    <w:rsid w:val="000A65B1"/>
    <w:rsid w:val="001B6647"/>
    <w:rsid w:val="001D7633"/>
    <w:rsid w:val="00206832"/>
    <w:rsid w:val="002213AD"/>
    <w:rsid w:val="00224E89"/>
    <w:rsid w:val="00226333"/>
    <w:rsid w:val="002578CB"/>
    <w:rsid w:val="00286922"/>
    <w:rsid w:val="00290EDA"/>
    <w:rsid w:val="002C21F9"/>
    <w:rsid w:val="00314DC0"/>
    <w:rsid w:val="00360751"/>
    <w:rsid w:val="00360F06"/>
    <w:rsid w:val="0039330F"/>
    <w:rsid w:val="003C6BA1"/>
    <w:rsid w:val="003C7B0D"/>
    <w:rsid w:val="003E48EB"/>
    <w:rsid w:val="004C3824"/>
    <w:rsid w:val="004E4862"/>
    <w:rsid w:val="004F178A"/>
    <w:rsid w:val="00532164"/>
    <w:rsid w:val="0056426D"/>
    <w:rsid w:val="00605D90"/>
    <w:rsid w:val="0065564C"/>
    <w:rsid w:val="007473F1"/>
    <w:rsid w:val="00775880"/>
    <w:rsid w:val="0078072E"/>
    <w:rsid w:val="007B0ECB"/>
    <w:rsid w:val="007E4796"/>
    <w:rsid w:val="007F066C"/>
    <w:rsid w:val="00827AA6"/>
    <w:rsid w:val="0086163A"/>
    <w:rsid w:val="009029C7"/>
    <w:rsid w:val="0095679E"/>
    <w:rsid w:val="009F1D0E"/>
    <w:rsid w:val="00A431DC"/>
    <w:rsid w:val="00A57317"/>
    <w:rsid w:val="00A73307"/>
    <w:rsid w:val="00A73687"/>
    <w:rsid w:val="00A76313"/>
    <w:rsid w:val="00A8338B"/>
    <w:rsid w:val="00AD7766"/>
    <w:rsid w:val="00B2077F"/>
    <w:rsid w:val="00B2292A"/>
    <w:rsid w:val="00B66B4C"/>
    <w:rsid w:val="00BC5E15"/>
    <w:rsid w:val="00BD28D6"/>
    <w:rsid w:val="00C214DF"/>
    <w:rsid w:val="00C45A29"/>
    <w:rsid w:val="00C55F86"/>
    <w:rsid w:val="00C81530"/>
    <w:rsid w:val="00CA759A"/>
    <w:rsid w:val="00D32899"/>
    <w:rsid w:val="00D5795A"/>
    <w:rsid w:val="00D730CF"/>
    <w:rsid w:val="00D75D25"/>
    <w:rsid w:val="00D9306C"/>
    <w:rsid w:val="00DB2E27"/>
    <w:rsid w:val="00DE0B6F"/>
    <w:rsid w:val="00E11CDE"/>
    <w:rsid w:val="00E17CCA"/>
    <w:rsid w:val="00E2240E"/>
    <w:rsid w:val="00E77DEA"/>
    <w:rsid w:val="00E90782"/>
    <w:rsid w:val="00E92C21"/>
    <w:rsid w:val="00EC17E4"/>
    <w:rsid w:val="00ED4EB5"/>
    <w:rsid w:val="00F128DF"/>
    <w:rsid w:val="00F12970"/>
    <w:rsid w:val="00FE3C5D"/>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DF"/>
    <w:pPr>
      <w:spacing w:line="20" w:lineRule="atLeast"/>
      <w:ind w:left="100" w:hangingChars="100" w:hanging="100"/>
    </w:pPr>
    <w:rPr>
      <w:rFonts w:ascii="Century" w:eastAsia="ＭＳ 明朝" w:hAnsi="Century" w:cs="Times New Roman"/>
    </w:rPr>
  </w:style>
  <w:style w:type="paragraph" w:styleId="1">
    <w:name w:val="heading 1"/>
    <w:basedOn w:val="a"/>
    <w:next w:val="a"/>
    <w:link w:val="10"/>
    <w:uiPriority w:val="9"/>
    <w:qFormat/>
    <w:rsid w:val="00C214DF"/>
    <w:pPr>
      <w:keepNext/>
      <w:outlineLvl w:val="0"/>
    </w:pPr>
    <w:rPr>
      <w:rFonts w:ascii="Arial" w:eastAsia="ＭＳ ゴシック" w:hAnsi="Arial"/>
      <w:kern w:val="0"/>
      <w:sz w:val="24"/>
      <w:szCs w:val="24"/>
    </w:rPr>
  </w:style>
  <w:style w:type="paragraph" w:styleId="2">
    <w:name w:val="heading 2"/>
    <w:basedOn w:val="a"/>
    <w:next w:val="a"/>
    <w:link w:val="20"/>
    <w:uiPriority w:val="9"/>
    <w:qFormat/>
    <w:rsid w:val="00C214DF"/>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4DF"/>
    <w:rPr>
      <w:rFonts w:ascii="Arial" w:eastAsia="ＭＳ ゴシック" w:hAnsi="Arial" w:cs="Times New Roman"/>
      <w:kern w:val="0"/>
      <w:sz w:val="24"/>
      <w:szCs w:val="24"/>
    </w:rPr>
  </w:style>
  <w:style w:type="character" w:customStyle="1" w:styleId="20">
    <w:name w:val="見出し 2 (文字)"/>
    <w:basedOn w:val="a0"/>
    <w:link w:val="2"/>
    <w:uiPriority w:val="9"/>
    <w:rsid w:val="00C214DF"/>
    <w:rPr>
      <w:rFonts w:ascii="Arial" w:eastAsia="ＭＳ ゴシック" w:hAnsi="Arial" w:cs="Times New Roman"/>
      <w:kern w:val="0"/>
      <w:sz w:val="20"/>
      <w:szCs w:val="20"/>
    </w:rPr>
  </w:style>
  <w:style w:type="paragraph" w:styleId="a3">
    <w:name w:val="header"/>
    <w:basedOn w:val="a"/>
    <w:link w:val="a4"/>
    <w:uiPriority w:val="99"/>
    <w:semiHidden/>
    <w:unhideWhenUsed/>
    <w:rsid w:val="00C214DF"/>
    <w:pPr>
      <w:tabs>
        <w:tab w:val="center" w:pos="4252"/>
        <w:tab w:val="right" w:pos="8504"/>
      </w:tabs>
      <w:snapToGrid w:val="0"/>
    </w:pPr>
  </w:style>
  <w:style w:type="character" w:customStyle="1" w:styleId="a4">
    <w:name w:val="ヘッダー (文字)"/>
    <w:basedOn w:val="a0"/>
    <w:link w:val="a3"/>
    <w:uiPriority w:val="99"/>
    <w:semiHidden/>
    <w:rsid w:val="00C214DF"/>
    <w:rPr>
      <w:rFonts w:ascii="Century" w:eastAsia="ＭＳ 明朝" w:hAnsi="Century" w:cs="Times New Roman"/>
    </w:rPr>
  </w:style>
  <w:style w:type="paragraph" w:styleId="a5">
    <w:name w:val="footer"/>
    <w:basedOn w:val="a"/>
    <w:link w:val="a6"/>
    <w:uiPriority w:val="99"/>
    <w:unhideWhenUsed/>
    <w:rsid w:val="00C214DF"/>
    <w:pPr>
      <w:tabs>
        <w:tab w:val="center" w:pos="4252"/>
        <w:tab w:val="right" w:pos="8504"/>
      </w:tabs>
      <w:snapToGrid w:val="0"/>
    </w:pPr>
  </w:style>
  <w:style w:type="character" w:customStyle="1" w:styleId="a6">
    <w:name w:val="フッター (文字)"/>
    <w:basedOn w:val="a0"/>
    <w:link w:val="a5"/>
    <w:uiPriority w:val="99"/>
    <w:rsid w:val="00C214DF"/>
    <w:rPr>
      <w:rFonts w:ascii="Century" w:eastAsia="ＭＳ 明朝" w:hAnsi="Century" w:cs="Times New Roman"/>
    </w:rPr>
  </w:style>
  <w:style w:type="paragraph" w:styleId="a7">
    <w:name w:val="footnote text"/>
    <w:basedOn w:val="a"/>
    <w:link w:val="a8"/>
    <w:uiPriority w:val="99"/>
    <w:unhideWhenUsed/>
    <w:rsid w:val="00C214DF"/>
    <w:pPr>
      <w:snapToGrid w:val="0"/>
    </w:pPr>
  </w:style>
  <w:style w:type="character" w:customStyle="1" w:styleId="a8">
    <w:name w:val="脚注文字列 (文字)"/>
    <w:basedOn w:val="a0"/>
    <w:link w:val="a7"/>
    <w:uiPriority w:val="99"/>
    <w:rsid w:val="00C214DF"/>
    <w:rPr>
      <w:rFonts w:ascii="Century" w:eastAsia="ＭＳ 明朝" w:hAnsi="Century" w:cs="Times New Roman"/>
    </w:rPr>
  </w:style>
  <w:style w:type="character" w:styleId="a9">
    <w:name w:val="footnote reference"/>
    <w:uiPriority w:val="99"/>
    <w:semiHidden/>
    <w:unhideWhenUsed/>
    <w:rsid w:val="00C214DF"/>
    <w:rPr>
      <w:vertAlign w:val="superscript"/>
    </w:rPr>
  </w:style>
  <w:style w:type="paragraph" w:customStyle="1" w:styleId="Default">
    <w:name w:val="Default"/>
    <w:rsid w:val="00C214DF"/>
    <w:pPr>
      <w:widowControl w:val="0"/>
      <w:autoSpaceDE w:val="0"/>
      <w:autoSpaceDN w:val="0"/>
      <w:adjustRightInd w:val="0"/>
      <w:spacing w:line="240" w:lineRule="auto"/>
    </w:pPr>
    <w:rPr>
      <w:rFonts w:ascii="ＭＳ 明朝" w:eastAsia="ＭＳ 明朝" w:hAnsi="Century" w:cs="ＭＳ 明朝"/>
      <w:color w:val="000000"/>
      <w:kern w:val="0"/>
      <w:sz w:val="24"/>
      <w:szCs w:val="24"/>
    </w:rPr>
  </w:style>
  <w:style w:type="paragraph" w:styleId="aa">
    <w:name w:val="endnote text"/>
    <w:basedOn w:val="a"/>
    <w:link w:val="ab"/>
    <w:uiPriority w:val="99"/>
    <w:semiHidden/>
    <w:unhideWhenUsed/>
    <w:rsid w:val="00CA759A"/>
    <w:pPr>
      <w:snapToGrid w:val="0"/>
    </w:pPr>
  </w:style>
  <w:style w:type="character" w:customStyle="1" w:styleId="ab">
    <w:name w:val="文末脚注文字列 (文字)"/>
    <w:basedOn w:val="a0"/>
    <w:link w:val="aa"/>
    <w:uiPriority w:val="99"/>
    <w:semiHidden/>
    <w:rsid w:val="00CA759A"/>
    <w:rPr>
      <w:rFonts w:ascii="Century" w:eastAsia="ＭＳ 明朝" w:hAnsi="Century" w:cs="Times New Roman"/>
    </w:rPr>
  </w:style>
  <w:style w:type="character" w:styleId="ac">
    <w:name w:val="endnote reference"/>
    <w:basedOn w:val="a0"/>
    <w:uiPriority w:val="99"/>
    <w:semiHidden/>
    <w:unhideWhenUsed/>
    <w:rsid w:val="00CA759A"/>
    <w:rPr>
      <w:vertAlign w:val="superscript"/>
    </w:rPr>
  </w:style>
  <w:style w:type="paragraph" w:styleId="ad">
    <w:name w:val="Document Map"/>
    <w:basedOn w:val="a"/>
    <w:link w:val="ae"/>
    <w:uiPriority w:val="99"/>
    <w:semiHidden/>
    <w:unhideWhenUsed/>
    <w:rsid w:val="007473F1"/>
    <w:rPr>
      <w:rFonts w:ascii="MS UI Gothic" w:eastAsia="MS UI Gothic"/>
      <w:sz w:val="18"/>
      <w:szCs w:val="18"/>
    </w:rPr>
  </w:style>
  <w:style w:type="character" w:customStyle="1" w:styleId="ae">
    <w:name w:val="見出しマップ (文字)"/>
    <w:basedOn w:val="a0"/>
    <w:link w:val="ad"/>
    <w:uiPriority w:val="99"/>
    <w:semiHidden/>
    <w:rsid w:val="007473F1"/>
    <w:rPr>
      <w:rFonts w:ascii="MS UI Gothic" w:eastAsia="MS UI Gothic" w:hAnsi="Century" w:cs="Times New Roman"/>
      <w:sz w:val="18"/>
      <w:szCs w:val="18"/>
    </w:rPr>
  </w:style>
  <w:style w:type="character" w:styleId="af">
    <w:name w:val="Hyperlink"/>
    <w:unhideWhenUsed/>
    <w:rsid w:val="002C21F9"/>
    <w:rPr>
      <w:color w:val="0000FF"/>
      <w:u w:val="single"/>
    </w:rPr>
  </w:style>
  <w:style w:type="paragraph" w:styleId="af0">
    <w:name w:val="List Paragraph"/>
    <w:basedOn w:val="a"/>
    <w:uiPriority w:val="34"/>
    <w:qFormat/>
    <w:rsid w:val="00B66B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DF"/>
    <w:pPr>
      <w:spacing w:line="20" w:lineRule="atLeast"/>
      <w:ind w:left="100" w:hangingChars="100" w:hanging="100"/>
    </w:pPr>
    <w:rPr>
      <w:rFonts w:ascii="Century" w:eastAsia="ＭＳ 明朝" w:hAnsi="Century" w:cs="Times New Roman"/>
    </w:rPr>
  </w:style>
  <w:style w:type="paragraph" w:styleId="1">
    <w:name w:val="heading 1"/>
    <w:basedOn w:val="a"/>
    <w:next w:val="a"/>
    <w:link w:val="10"/>
    <w:uiPriority w:val="9"/>
    <w:qFormat/>
    <w:rsid w:val="00C214DF"/>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qFormat/>
    <w:rsid w:val="00C214DF"/>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4DF"/>
    <w:rPr>
      <w:rFonts w:ascii="Arial" w:eastAsia="ＭＳ ゴシック" w:hAnsi="Arial" w:cs="Times New Roman"/>
      <w:kern w:val="0"/>
      <w:sz w:val="24"/>
      <w:szCs w:val="24"/>
      <w:lang w:val="x-none" w:eastAsia="x-none"/>
    </w:rPr>
  </w:style>
  <w:style w:type="character" w:customStyle="1" w:styleId="20">
    <w:name w:val="見出し 2 (文字)"/>
    <w:basedOn w:val="a0"/>
    <w:link w:val="2"/>
    <w:uiPriority w:val="9"/>
    <w:rsid w:val="00C214DF"/>
    <w:rPr>
      <w:rFonts w:ascii="Arial" w:eastAsia="ＭＳ ゴシック" w:hAnsi="Arial" w:cs="Times New Roman"/>
      <w:kern w:val="0"/>
      <w:sz w:val="20"/>
      <w:szCs w:val="20"/>
      <w:lang w:val="x-none" w:eastAsia="x-none"/>
    </w:rPr>
  </w:style>
  <w:style w:type="paragraph" w:styleId="a3">
    <w:name w:val="header"/>
    <w:basedOn w:val="a"/>
    <w:link w:val="a4"/>
    <w:uiPriority w:val="99"/>
    <w:semiHidden/>
    <w:unhideWhenUsed/>
    <w:rsid w:val="00C214DF"/>
    <w:pPr>
      <w:tabs>
        <w:tab w:val="center" w:pos="4252"/>
        <w:tab w:val="right" w:pos="8504"/>
      </w:tabs>
      <w:snapToGrid w:val="0"/>
    </w:pPr>
  </w:style>
  <w:style w:type="character" w:customStyle="1" w:styleId="a4">
    <w:name w:val="ヘッダー (文字)"/>
    <w:basedOn w:val="a0"/>
    <w:link w:val="a3"/>
    <w:uiPriority w:val="99"/>
    <w:semiHidden/>
    <w:rsid w:val="00C214DF"/>
    <w:rPr>
      <w:rFonts w:ascii="Century" w:eastAsia="ＭＳ 明朝" w:hAnsi="Century" w:cs="Times New Roman"/>
    </w:rPr>
  </w:style>
  <w:style w:type="paragraph" w:styleId="a5">
    <w:name w:val="footer"/>
    <w:basedOn w:val="a"/>
    <w:link w:val="a6"/>
    <w:uiPriority w:val="99"/>
    <w:unhideWhenUsed/>
    <w:rsid w:val="00C214DF"/>
    <w:pPr>
      <w:tabs>
        <w:tab w:val="center" w:pos="4252"/>
        <w:tab w:val="right" w:pos="8504"/>
      </w:tabs>
      <w:snapToGrid w:val="0"/>
    </w:pPr>
  </w:style>
  <w:style w:type="character" w:customStyle="1" w:styleId="a6">
    <w:name w:val="フッター (文字)"/>
    <w:basedOn w:val="a0"/>
    <w:link w:val="a5"/>
    <w:uiPriority w:val="99"/>
    <w:rsid w:val="00C214DF"/>
    <w:rPr>
      <w:rFonts w:ascii="Century" w:eastAsia="ＭＳ 明朝" w:hAnsi="Century" w:cs="Times New Roman"/>
    </w:rPr>
  </w:style>
  <w:style w:type="paragraph" w:styleId="a7">
    <w:name w:val="footnote text"/>
    <w:basedOn w:val="a"/>
    <w:link w:val="a8"/>
    <w:uiPriority w:val="99"/>
    <w:unhideWhenUsed/>
    <w:rsid w:val="00C214DF"/>
    <w:pPr>
      <w:snapToGrid w:val="0"/>
    </w:pPr>
    <w:rPr>
      <w:lang w:val="x-none" w:eastAsia="x-none"/>
    </w:rPr>
  </w:style>
  <w:style w:type="character" w:customStyle="1" w:styleId="a8">
    <w:name w:val="脚注文字列 (文字)"/>
    <w:basedOn w:val="a0"/>
    <w:link w:val="a7"/>
    <w:uiPriority w:val="99"/>
    <w:rsid w:val="00C214DF"/>
    <w:rPr>
      <w:rFonts w:ascii="Century" w:eastAsia="ＭＳ 明朝" w:hAnsi="Century" w:cs="Times New Roman"/>
      <w:lang w:val="x-none" w:eastAsia="x-none"/>
    </w:rPr>
  </w:style>
  <w:style w:type="character" w:styleId="a9">
    <w:name w:val="footnote reference"/>
    <w:uiPriority w:val="99"/>
    <w:semiHidden/>
    <w:unhideWhenUsed/>
    <w:rsid w:val="00C214DF"/>
    <w:rPr>
      <w:vertAlign w:val="superscript"/>
    </w:rPr>
  </w:style>
  <w:style w:type="paragraph" w:customStyle="1" w:styleId="Default">
    <w:name w:val="Default"/>
    <w:rsid w:val="00C214DF"/>
    <w:pPr>
      <w:widowControl w:val="0"/>
      <w:autoSpaceDE w:val="0"/>
      <w:autoSpaceDN w:val="0"/>
      <w:adjustRightInd w:val="0"/>
      <w:spacing w:line="240" w:lineRule="auto"/>
    </w:pPr>
    <w:rPr>
      <w:rFonts w:ascii="ＭＳ 明朝" w:eastAsia="ＭＳ 明朝" w:hAnsi="Century" w:cs="ＭＳ 明朝"/>
      <w:color w:val="000000"/>
      <w:kern w:val="0"/>
      <w:sz w:val="24"/>
      <w:szCs w:val="24"/>
    </w:rPr>
  </w:style>
  <w:style w:type="paragraph" w:styleId="aa">
    <w:name w:val="endnote text"/>
    <w:basedOn w:val="a"/>
    <w:link w:val="ab"/>
    <w:uiPriority w:val="99"/>
    <w:semiHidden/>
    <w:unhideWhenUsed/>
    <w:rsid w:val="00CA759A"/>
    <w:pPr>
      <w:snapToGrid w:val="0"/>
    </w:pPr>
  </w:style>
  <w:style w:type="character" w:customStyle="1" w:styleId="ab">
    <w:name w:val="文末脚注文字列 (文字)"/>
    <w:basedOn w:val="a0"/>
    <w:link w:val="aa"/>
    <w:uiPriority w:val="99"/>
    <w:semiHidden/>
    <w:rsid w:val="00CA759A"/>
    <w:rPr>
      <w:rFonts w:ascii="Century" w:eastAsia="ＭＳ 明朝" w:hAnsi="Century" w:cs="Times New Roman"/>
    </w:rPr>
  </w:style>
  <w:style w:type="character" w:styleId="ac">
    <w:name w:val="endnote reference"/>
    <w:basedOn w:val="a0"/>
    <w:uiPriority w:val="99"/>
    <w:semiHidden/>
    <w:unhideWhenUsed/>
    <w:rsid w:val="00CA7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ti.go.jp/meti_lib/report/2013fy/E003170.pdf" TargetMode="External"/><Relationship Id="rId4" Type="http://schemas.microsoft.com/office/2007/relationships/stylesWithEffects" Target="stylesWithEffects.xml"/><Relationship Id="rId9" Type="http://schemas.openxmlformats.org/officeDocument/2006/relationships/hyperlink" Target="http://www.soumu.go.jp/menu_news/s-news/2009/pdf/090130_3_bt_1.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B6DB-C18D-40AA-8902-E3B1C5AE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1098</Words>
  <Characters>6261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Funada Masayuki</cp:lastModifiedBy>
  <cp:revision>3</cp:revision>
  <dcterms:created xsi:type="dcterms:W3CDTF">2013-09-29T14:12:00Z</dcterms:created>
  <dcterms:modified xsi:type="dcterms:W3CDTF">2013-09-29T14:54:00Z</dcterms:modified>
</cp:coreProperties>
</file>