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94C00" w14:textId="77777777" w:rsidR="000A668C" w:rsidRPr="005F6787" w:rsidRDefault="000A668C" w:rsidP="005C3B5F"/>
    <w:p w14:paraId="3E63F8BB" w14:textId="77777777" w:rsidR="0036706D" w:rsidRPr="005F6787" w:rsidRDefault="00910095" w:rsidP="0036706D">
      <w:pPr>
        <w:pStyle w:val="1"/>
        <w:jc w:val="left"/>
        <w:rPr>
          <w:rFonts w:asciiTheme="minorHAnsi" w:eastAsiaTheme="minorEastAsia" w:hAnsiTheme="minorHAnsi"/>
          <w:b/>
          <w:sz w:val="21"/>
          <w:szCs w:val="21"/>
        </w:rPr>
      </w:pPr>
      <w:r w:rsidRPr="005F6787">
        <w:rPr>
          <w:rFonts w:asciiTheme="minorHAnsi" w:eastAsiaTheme="minorEastAsia" w:hAnsiTheme="minorHAnsi"/>
          <w:b/>
          <w:sz w:val="21"/>
          <w:szCs w:val="21"/>
        </w:rPr>
        <w:t>「ドイツ・フェイスブック</w:t>
      </w:r>
      <w:r w:rsidR="0036706D" w:rsidRPr="005F6787">
        <w:rPr>
          <w:rFonts w:asciiTheme="minorHAnsi" w:eastAsiaTheme="minorEastAsia" w:hAnsiTheme="minorHAnsi"/>
          <w:b/>
          <w:sz w:val="21"/>
          <w:szCs w:val="21"/>
        </w:rPr>
        <w:t>事件</w:t>
      </w:r>
      <w:r w:rsidR="0036706D" w:rsidRPr="005F6787">
        <w:rPr>
          <w:rFonts w:asciiTheme="minorHAnsi" w:eastAsiaTheme="minorEastAsia" w:hAnsiTheme="minorHAnsi"/>
          <w:b/>
          <w:sz w:val="21"/>
          <w:szCs w:val="21"/>
        </w:rPr>
        <w:t>----</w:t>
      </w:r>
      <w:r w:rsidR="0055132C" w:rsidRPr="005F6787">
        <w:rPr>
          <w:rFonts w:asciiTheme="minorHAnsi" w:eastAsiaTheme="minorEastAsia" w:hAnsiTheme="minorHAnsi"/>
          <w:b/>
          <w:sz w:val="21"/>
          <w:szCs w:val="21"/>
        </w:rPr>
        <w:t>競争法上の</w:t>
      </w:r>
      <w:r w:rsidR="0036706D" w:rsidRPr="005F6787">
        <w:rPr>
          <w:rFonts w:asciiTheme="minorHAnsi" w:eastAsiaTheme="minorEastAsia" w:hAnsiTheme="minorHAnsi"/>
          <w:b/>
          <w:sz w:val="21"/>
          <w:szCs w:val="21"/>
        </w:rPr>
        <w:t>濫用規制と憲法・民法</w:t>
      </w:r>
      <w:r w:rsidR="0055132C" w:rsidRPr="005F6787">
        <w:rPr>
          <w:rFonts w:asciiTheme="minorHAnsi" w:eastAsiaTheme="minorEastAsia" w:hAnsiTheme="minorHAnsi"/>
          <w:b/>
          <w:sz w:val="21"/>
          <w:szCs w:val="21"/>
        </w:rPr>
        <w:t>の関係</w:t>
      </w:r>
      <w:r w:rsidR="0036706D" w:rsidRPr="005F6787">
        <w:rPr>
          <w:rFonts w:asciiTheme="minorHAnsi" w:eastAsiaTheme="minorEastAsia" w:hAnsiTheme="minorHAnsi"/>
          <w:b/>
          <w:sz w:val="21"/>
          <w:szCs w:val="21"/>
        </w:rPr>
        <w:t>」</w:t>
      </w:r>
      <w:r w:rsidR="0055132C" w:rsidRPr="005F6787">
        <w:rPr>
          <w:rStyle w:val="ad"/>
          <w:rFonts w:asciiTheme="minorHAnsi" w:eastAsiaTheme="minorEastAsia" w:hAnsiTheme="minorHAnsi"/>
          <w:b/>
          <w:sz w:val="21"/>
          <w:szCs w:val="21"/>
        </w:rPr>
        <w:footnoteReference w:id="1"/>
      </w:r>
    </w:p>
    <w:p w14:paraId="1C49F647" w14:textId="77777777" w:rsidR="008F6CED" w:rsidRPr="005F6787" w:rsidRDefault="008F6CED" w:rsidP="008F6CED">
      <w:pPr>
        <w:rPr>
          <w:szCs w:val="21"/>
        </w:rPr>
      </w:pPr>
    </w:p>
    <w:p w14:paraId="5C79BB30" w14:textId="77777777" w:rsidR="008F6CED" w:rsidRPr="005F6787" w:rsidRDefault="008F6CED" w:rsidP="008F6CED">
      <w:pPr>
        <w:wordWrap w:val="0"/>
        <w:jc w:val="right"/>
        <w:rPr>
          <w:szCs w:val="21"/>
        </w:rPr>
      </w:pPr>
      <w:r w:rsidRPr="005F6787">
        <w:rPr>
          <w:szCs w:val="21"/>
        </w:rPr>
        <w:t>舟田　正之</w:t>
      </w:r>
    </w:p>
    <w:p w14:paraId="450EFF86" w14:textId="77777777" w:rsidR="001F0EF8" w:rsidRPr="005F6787" w:rsidRDefault="001F0EF8" w:rsidP="001F0EF8">
      <w:pPr>
        <w:rPr>
          <w:szCs w:val="21"/>
        </w:rPr>
      </w:pPr>
    </w:p>
    <w:p w14:paraId="66628541" w14:textId="77777777" w:rsidR="00FE50B1" w:rsidRPr="005F6787" w:rsidRDefault="00FE50B1" w:rsidP="00FE50B1">
      <w:pPr>
        <w:rPr>
          <w:b/>
          <w:szCs w:val="21"/>
        </w:rPr>
      </w:pPr>
      <w:r w:rsidRPr="005F6787">
        <w:rPr>
          <w:b/>
          <w:szCs w:val="21"/>
        </w:rPr>
        <w:t>＜概要＞</w:t>
      </w:r>
    </w:p>
    <w:p w14:paraId="6C9EF75C" w14:textId="77777777" w:rsidR="00FE50B1" w:rsidRPr="005F6787" w:rsidRDefault="00FE50B1" w:rsidP="00FE50B1">
      <w:pPr>
        <w:rPr>
          <w:szCs w:val="21"/>
        </w:rPr>
      </w:pPr>
      <w:r w:rsidRPr="005F6787">
        <w:rPr>
          <w:szCs w:val="21"/>
        </w:rPr>
        <w:t>1</w:t>
      </w:r>
      <w:r w:rsidRPr="005F6787">
        <w:rPr>
          <w:szCs w:val="21"/>
        </w:rPr>
        <w:t>．ドイツ連邦カルテル庁の</w:t>
      </w:r>
      <w:r w:rsidR="0036706D" w:rsidRPr="005F6787">
        <w:rPr>
          <w:szCs w:val="21"/>
        </w:rPr>
        <w:t>フェイスブック（</w:t>
      </w:r>
      <w:r w:rsidRPr="005F6787">
        <w:rPr>
          <w:szCs w:val="21"/>
        </w:rPr>
        <w:t>FB</w:t>
      </w:r>
      <w:r w:rsidR="0036706D" w:rsidRPr="005F6787">
        <w:rPr>
          <w:szCs w:val="21"/>
        </w:rPr>
        <w:t>）</w:t>
      </w:r>
      <w:r w:rsidRPr="005F6787">
        <w:rPr>
          <w:szCs w:val="21"/>
        </w:rPr>
        <w:t>事件決定は、</w:t>
      </w:r>
      <w:r w:rsidR="0036706D" w:rsidRPr="005F6787">
        <w:rPr>
          <w:szCs w:val="21"/>
        </w:rPr>
        <w:t>EU</w:t>
      </w:r>
      <w:r w:rsidR="0036706D" w:rsidRPr="005F6787">
        <w:rPr>
          <w:szCs w:val="21"/>
        </w:rPr>
        <w:t>の一般データ保護規則（</w:t>
      </w:r>
      <w:r w:rsidR="0036706D" w:rsidRPr="005F6787">
        <w:rPr>
          <w:szCs w:val="21"/>
        </w:rPr>
        <w:t>GDPR</w:t>
      </w:r>
      <w:r w:rsidR="0036706D" w:rsidRPr="005F6787">
        <w:rPr>
          <w:szCs w:val="21"/>
        </w:rPr>
        <w:t>）</w:t>
      </w:r>
      <w:r w:rsidRPr="005F6787">
        <w:rPr>
          <w:szCs w:val="21"/>
        </w:rPr>
        <w:t>違反を</w:t>
      </w:r>
      <w:r w:rsidR="00910095" w:rsidRPr="005F6787">
        <w:rPr>
          <w:szCs w:val="21"/>
        </w:rPr>
        <w:t>競争制限禁止法</w:t>
      </w:r>
      <w:r w:rsidRPr="005F6787">
        <w:rPr>
          <w:szCs w:val="21"/>
        </w:rPr>
        <w:t>違反に結びつけて</w:t>
      </w:r>
      <w:r w:rsidR="0036706D" w:rsidRPr="005F6787">
        <w:rPr>
          <w:szCs w:val="21"/>
        </w:rPr>
        <w:t>、「</w:t>
      </w:r>
      <w:r w:rsidRPr="005F6787">
        <w:rPr>
          <w:szCs w:val="21"/>
        </w:rPr>
        <w:t>濫用</w:t>
      </w:r>
      <w:r w:rsidR="0036706D" w:rsidRPr="005F6787">
        <w:rPr>
          <w:szCs w:val="21"/>
        </w:rPr>
        <w:t>」</w:t>
      </w:r>
      <w:r w:rsidRPr="005F6787">
        <w:rPr>
          <w:szCs w:val="21"/>
        </w:rPr>
        <w:t>とした初めての判断である。</w:t>
      </w:r>
    </w:p>
    <w:p w14:paraId="29848214" w14:textId="77777777" w:rsidR="00FE50B1" w:rsidRPr="005F6787" w:rsidRDefault="00FE50B1" w:rsidP="00FE50B1">
      <w:pPr>
        <w:rPr>
          <w:szCs w:val="21"/>
        </w:rPr>
      </w:pPr>
      <w:r w:rsidRPr="005F6787">
        <w:rPr>
          <w:szCs w:val="21"/>
        </w:rPr>
        <w:t xml:space="preserve">2. </w:t>
      </w:r>
      <w:r w:rsidR="00C81FD0" w:rsidRPr="005F6787">
        <w:rPr>
          <w:szCs w:val="21"/>
        </w:rPr>
        <w:t xml:space="preserve"> </w:t>
      </w:r>
      <w:r w:rsidRPr="005F6787">
        <w:rPr>
          <w:szCs w:val="21"/>
        </w:rPr>
        <w:t>FB</w:t>
      </w:r>
      <w:r w:rsidRPr="005F6787">
        <w:rPr>
          <w:szCs w:val="21"/>
        </w:rPr>
        <w:t>などのデジタルプラットフォー</w:t>
      </w:r>
      <w:r w:rsidR="00D038D7" w:rsidRPr="005F6787">
        <w:rPr>
          <w:szCs w:val="21"/>
        </w:rPr>
        <w:t>ムの場合、消費者は無料でサービスの提供を受けるが、同時に、当該事業者はその定める約款に基づき、</w:t>
      </w:r>
      <w:r w:rsidR="00437DC1" w:rsidRPr="005F6787">
        <w:rPr>
          <w:szCs w:val="21"/>
        </w:rPr>
        <w:t>個人データ</w:t>
      </w:r>
      <w:r w:rsidRPr="005F6787">
        <w:rPr>
          <w:szCs w:val="21"/>
        </w:rPr>
        <w:t>を</w:t>
      </w:r>
      <w:r w:rsidR="00D038D7" w:rsidRPr="005F6787">
        <w:rPr>
          <w:szCs w:val="21"/>
        </w:rPr>
        <w:t>入手し</w:t>
      </w:r>
      <w:r w:rsidRPr="005F6787">
        <w:rPr>
          <w:szCs w:val="21"/>
        </w:rPr>
        <w:t>、</w:t>
      </w:r>
      <w:r w:rsidR="00437DC1" w:rsidRPr="005F6787">
        <w:rPr>
          <w:szCs w:val="21"/>
        </w:rPr>
        <w:t>それを蓄積・</w:t>
      </w:r>
      <w:r w:rsidRPr="005F6787">
        <w:rPr>
          <w:szCs w:val="21"/>
        </w:rPr>
        <w:t>処理・利用して、広告市場等において収益をあげ</w:t>
      </w:r>
      <w:r w:rsidR="00C81FD0" w:rsidRPr="005F6787">
        <w:rPr>
          <w:szCs w:val="21"/>
        </w:rPr>
        <w:t>ているのであるから、このような消費者取引</w:t>
      </w:r>
      <w:r w:rsidR="00663E57" w:rsidRPr="005F6787">
        <w:rPr>
          <w:szCs w:val="21"/>
        </w:rPr>
        <w:t>市場</w:t>
      </w:r>
      <w:r w:rsidR="008F6CED" w:rsidRPr="005F6787">
        <w:rPr>
          <w:szCs w:val="21"/>
        </w:rPr>
        <w:t>も、競争</w:t>
      </w:r>
      <w:r w:rsidR="00C81FD0" w:rsidRPr="005F6787">
        <w:rPr>
          <w:szCs w:val="21"/>
        </w:rPr>
        <w:t>法上の</w:t>
      </w:r>
      <w:r w:rsidR="00663E57" w:rsidRPr="005F6787">
        <w:rPr>
          <w:szCs w:val="21"/>
        </w:rPr>
        <w:t>「</w:t>
      </w:r>
      <w:r w:rsidRPr="005F6787">
        <w:rPr>
          <w:szCs w:val="21"/>
        </w:rPr>
        <w:t>市場」として評価される。</w:t>
      </w:r>
    </w:p>
    <w:p w14:paraId="5B7F0444" w14:textId="77777777" w:rsidR="00FE50B1" w:rsidRPr="005F6787" w:rsidRDefault="00FE50B1" w:rsidP="00FE50B1">
      <w:pPr>
        <w:rPr>
          <w:szCs w:val="21"/>
        </w:rPr>
      </w:pPr>
      <w:r w:rsidRPr="005F6787">
        <w:rPr>
          <w:szCs w:val="21"/>
        </w:rPr>
        <w:t xml:space="preserve">3. </w:t>
      </w:r>
      <w:r w:rsidRPr="005F6787">
        <w:rPr>
          <w:szCs w:val="21"/>
        </w:rPr>
        <w:t>本決定は、濫用を判断するための取引両当事者間の「利益衡量」にお</w:t>
      </w:r>
      <w:r w:rsidR="00871347" w:rsidRPr="005F6787">
        <w:rPr>
          <w:szCs w:val="21"/>
        </w:rPr>
        <w:t>いて、基本権（「自己決定」）を重要なファクターとしており、</w:t>
      </w:r>
      <w:r w:rsidRPr="005F6787">
        <w:rPr>
          <w:szCs w:val="21"/>
        </w:rPr>
        <w:t>一方的な取引条件の設定を「他者決定」</w:t>
      </w:r>
      <w:r w:rsidR="00871347" w:rsidRPr="005F6787">
        <w:rPr>
          <w:szCs w:val="21"/>
        </w:rPr>
        <w:t>による</w:t>
      </w:r>
      <w:r w:rsidRPr="005F6787">
        <w:rPr>
          <w:szCs w:val="21"/>
        </w:rPr>
        <w:t>基本権の侵害と</w:t>
      </w:r>
      <w:r w:rsidR="00871347" w:rsidRPr="005F6787">
        <w:rPr>
          <w:szCs w:val="21"/>
        </w:rPr>
        <w:t>捉えている</w:t>
      </w:r>
      <w:r w:rsidRPr="005F6787">
        <w:rPr>
          <w:szCs w:val="21"/>
        </w:rPr>
        <w:t>。</w:t>
      </w:r>
    </w:p>
    <w:p w14:paraId="32D39E17" w14:textId="77777777" w:rsidR="00871347" w:rsidRPr="005F6787" w:rsidRDefault="00FE50B1" w:rsidP="00FE50B1">
      <w:pPr>
        <w:rPr>
          <w:rFonts w:cs="Arial"/>
          <w:szCs w:val="21"/>
          <w:shd w:val="clear" w:color="auto" w:fill="FFFFFF"/>
        </w:rPr>
      </w:pPr>
      <w:r w:rsidRPr="005F6787">
        <w:rPr>
          <w:szCs w:val="21"/>
        </w:rPr>
        <w:t xml:space="preserve">4. </w:t>
      </w:r>
      <w:r w:rsidRPr="005F6787">
        <w:rPr>
          <w:szCs w:val="21"/>
        </w:rPr>
        <w:t>本決定は、</w:t>
      </w:r>
      <w:r w:rsidR="00910095" w:rsidRPr="005F6787">
        <w:rPr>
          <w:szCs w:val="21"/>
        </w:rPr>
        <w:t>競争制限禁止法</w:t>
      </w:r>
      <w:r w:rsidRPr="005F6787">
        <w:rPr>
          <w:szCs w:val="21"/>
        </w:rPr>
        <w:t>上の濫用規制を「私法上の一般条項の</w:t>
      </w:r>
      <w:r w:rsidRPr="005F6787">
        <w:rPr>
          <w:szCs w:val="21"/>
        </w:rPr>
        <w:t>1</w:t>
      </w:r>
      <w:r w:rsidRPr="005F6787">
        <w:rPr>
          <w:szCs w:val="21"/>
        </w:rPr>
        <w:t>つ」と位置づけ、</w:t>
      </w:r>
      <w:r w:rsidR="00871347" w:rsidRPr="005F6787">
        <w:rPr>
          <w:szCs w:val="21"/>
        </w:rPr>
        <w:t>かつ、</w:t>
      </w:r>
      <w:r w:rsidRPr="005F6787">
        <w:rPr>
          <w:szCs w:val="21"/>
        </w:rPr>
        <w:t>民法上の不当条項規制と関連させ</w:t>
      </w:r>
      <w:r w:rsidR="00871347" w:rsidRPr="005F6787">
        <w:rPr>
          <w:szCs w:val="21"/>
        </w:rPr>
        <w:t>て濫用を認めた</w:t>
      </w:r>
      <w:r w:rsidR="00871347" w:rsidRPr="005F6787">
        <w:rPr>
          <w:rFonts w:cs="Arial"/>
          <w:szCs w:val="21"/>
          <w:shd w:val="clear" w:color="auto" w:fill="FFFFFF"/>
        </w:rPr>
        <w:t>連邦通常裁判所（</w:t>
      </w:r>
      <w:r w:rsidR="00871347" w:rsidRPr="005F6787">
        <w:rPr>
          <w:rFonts w:cs="Arial"/>
          <w:szCs w:val="21"/>
          <w:shd w:val="clear" w:color="auto" w:fill="FFFFFF"/>
        </w:rPr>
        <w:t>BGH</w:t>
      </w:r>
      <w:r w:rsidR="00871347" w:rsidRPr="005F6787">
        <w:rPr>
          <w:rFonts w:cs="Arial"/>
          <w:szCs w:val="21"/>
          <w:shd w:val="clear" w:color="auto" w:fill="FFFFFF"/>
        </w:rPr>
        <w:t>）判決を基にして、</w:t>
      </w:r>
      <w:r w:rsidR="00871347" w:rsidRPr="005F6787">
        <w:rPr>
          <w:szCs w:val="21"/>
        </w:rPr>
        <w:t>不当条項をデータ保護違反に置き換えて濫用を認めた。</w:t>
      </w:r>
    </w:p>
    <w:p w14:paraId="7B6495B8" w14:textId="77777777" w:rsidR="00FE50B1" w:rsidRPr="005F6787" w:rsidRDefault="0036706D" w:rsidP="00871347">
      <w:pPr>
        <w:rPr>
          <w:szCs w:val="21"/>
        </w:rPr>
      </w:pPr>
      <w:r w:rsidRPr="005F6787">
        <w:rPr>
          <w:szCs w:val="21"/>
        </w:rPr>
        <w:t xml:space="preserve">5. </w:t>
      </w:r>
      <w:r w:rsidR="00910095" w:rsidRPr="005F6787">
        <w:rPr>
          <w:szCs w:val="21"/>
        </w:rPr>
        <w:t>日本の独禁法（ドイツの濫用規制に対応する規定</w:t>
      </w:r>
      <w:r w:rsidRPr="005F6787">
        <w:rPr>
          <w:szCs w:val="21"/>
        </w:rPr>
        <w:t>は</w:t>
      </w:r>
      <w:r w:rsidR="00910095" w:rsidRPr="005F6787">
        <w:rPr>
          <w:szCs w:val="21"/>
        </w:rPr>
        <w:t>、</w:t>
      </w:r>
      <w:r w:rsidRPr="005F6787">
        <w:rPr>
          <w:szCs w:val="21"/>
        </w:rPr>
        <w:t>差し当たり「優越的地位の濫用」</w:t>
      </w:r>
      <w:r w:rsidR="00910095" w:rsidRPr="005F6787">
        <w:rPr>
          <w:szCs w:val="21"/>
        </w:rPr>
        <w:t>規制である</w:t>
      </w:r>
      <w:r w:rsidRPr="005F6787">
        <w:rPr>
          <w:szCs w:val="21"/>
        </w:rPr>
        <w:t>）でも、本決定とほぼ同様の解釈が可能と思われる。</w:t>
      </w:r>
    </w:p>
    <w:p w14:paraId="5CD0AAFA" w14:textId="77777777" w:rsidR="000E6D18" w:rsidRPr="005F6787" w:rsidRDefault="000E6D18" w:rsidP="00F728FE">
      <w:pPr>
        <w:rPr>
          <w:szCs w:val="21"/>
        </w:rPr>
      </w:pPr>
    </w:p>
    <w:p w14:paraId="4C3C31D4" w14:textId="77777777" w:rsidR="00956E03" w:rsidRPr="005F6787" w:rsidRDefault="00BA66A0" w:rsidP="00914540">
      <w:pPr>
        <w:pStyle w:val="1"/>
        <w:rPr>
          <w:rStyle w:val="a3"/>
          <w:rFonts w:asciiTheme="minorHAnsi" w:eastAsiaTheme="minorEastAsia" w:hAnsiTheme="minorHAnsi"/>
          <w:b/>
          <w:color w:val="auto"/>
          <w:sz w:val="21"/>
          <w:szCs w:val="21"/>
          <w:u w:val="none"/>
        </w:rPr>
      </w:pPr>
      <w:r w:rsidRPr="005F6787">
        <w:rPr>
          <w:rStyle w:val="a3"/>
          <w:rFonts w:ascii="ＭＳ 明朝" w:eastAsia="ＭＳ 明朝" w:hAnsi="ＭＳ 明朝" w:cs="ＭＳ 明朝" w:hint="eastAsia"/>
          <w:b/>
          <w:color w:val="auto"/>
          <w:sz w:val="21"/>
          <w:szCs w:val="21"/>
          <w:u w:val="none"/>
        </w:rPr>
        <w:t>Ⅰ</w:t>
      </w:r>
      <w:r w:rsidR="00914540" w:rsidRPr="005F6787">
        <w:rPr>
          <w:rStyle w:val="a3"/>
          <w:rFonts w:asciiTheme="minorHAnsi" w:eastAsiaTheme="minorEastAsia" w:hAnsiTheme="minorHAnsi"/>
          <w:b/>
          <w:color w:val="auto"/>
          <w:sz w:val="21"/>
          <w:szCs w:val="21"/>
          <w:u w:val="none"/>
        </w:rPr>
        <w:t xml:space="preserve">. </w:t>
      </w:r>
      <w:r w:rsidR="00165333" w:rsidRPr="005F6787">
        <w:rPr>
          <w:rStyle w:val="a3"/>
          <w:rFonts w:asciiTheme="minorHAnsi" w:eastAsiaTheme="minorEastAsia" w:hAnsiTheme="minorHAnsi"/>
          <w:b/>
          <w:color w:val="auto"/>
          <w:sz w:val="21"/>
          <w:szCs w:val="21"/>
          <w:u w:val="none"/>
        </w:rPr>
        <w:t>はじめに</w:t>
      </w:r>
    </w:p>
    <w:p w14:paraId="3C507944" w14:textId="77777777" w:rsidR="0087416B" w:rsidRPr="005F6787" w:rsidRDefault="006F5792" w:rsidP="006B49F5">
      <w:pPr>
        <w:ind w:firstLineChars="100" w:firstLine="210"/>
        <w:jc w:val="left"/>
        <w:rPr>
          <w:szCs w:val="21"/>
          <w:shd w:val="clear" w:color="auto" w:fill="FFFFFF"/>
        </w:rPr>
      </w:pPr>
      <w:r w:rsidRPr="005F6787">
        <w:rPr>
          <w:szCs w:val="21"/>
        </w:rPr>
        <w:t>デジタルプラットフォーム、その中でも特に</w:t>
      </w:r>
      <w:r w:rsidR="00956E03" w:rsidRPr="005F6787">
        <w:rPr>
          <w:szCs w:val="21"/>
          <w:shd w:val="clear" w:color="auto" w:fill="FFFFFF"/>
        </w:rPr>
        <w:t>いわゆる</w:t>
      </w:r>
      <w:r w:rsidR="00956E03" w:rsidRPr="005F6787">
        <w:rPr>
          <w:szCs w:val="21"/>
          <w:shd w:val="clear" w:color="auto" w:fill="FFFFFF"/>
        </w:rPr>
        <w:t>GAFA</w:t>
      </w:r>
      <w:r w:rsidR="00956E03" w:rsidRPr="005F6787">
        <w:rPr>
          <w:szCs w:val="21"/>
          <w:shd w:val="clear" w:color="auto" w:fill="FFFFFF"/>
        </w:rPr>
        <w:t>をめぐ</w:t>
      </w:r>
      <w:r w:rsidRPr="005F6787">
        <w:rPr>
          <w:szCs w:val="21"/>
          <w:shd w:val="clear" w:color="auto" w:fill="FFFFFF"/>
        </w:rPr>
        <w:t>る法的問題は、</w:t>
      </w:r>
      <w:r w:rsidR="00D00541" w:rsidRPr="005F6787">
        <w:rPr>
          <w:szCs w:val="21"/>
        </w:rPr>
        <w:t>プラットフォーム事業者と</w:t>
      </w:r>
      <w:r w:rsidRPr="005F6787">
        <w:rPr>
          <w:szCs w:val="21"/>
          <w:shd w:val="clear" w:color="auto" w:fill="FFFFFF"/>
        </w:rPr>
        <w:t>中小事業者</w:t>
      </w:r>
      <w:r w:rsidR="00D00541" w:rsidRPr="005F6787">
        <w:rPr>
          <w:szCs w:val="21"/>
          <w:shd w:val="clear" w:color="auto" w:fill="FFFFFF"/>
        </w:rPr>
        <w:t>の間における</w:t>
      </w:r>
      <w:r w:rsidRPr="005F6787">
        <w:rPr>
          <w:szCs w:val="21"/>
          <w:shd w:val="clear" w:color="auto" w:fill="FFFFFF"/>
        </w:rPr>
        <w:t>事業者間取引</w:t>
      </w:r>
      <w:r w:rsidR="00D00541" w:rsidRPr="005F6787">
        <w:rPr>
          <w:szCs w:val="21"/>
          <w:shd w:val="clear" w:color="auto" w:fill="FFFFFF"/>
        </w:rPr>
        <w:t>、及び</w:t>
      </w:r>
      <w:r w:rsidR="00D00541" w:rsidRPr="005F6787">
        <w:rPr>
          <w:szCs w:val="21"/>
        </w:rPr>
        <w:t>プラットフォーム事業者と</w:t>
      </w:r>
      <w:r w:rsidRPr="005F6787">
        <w:rPr>
          <w:szCs w:val="21"/>
          <w:shd w:val="clear" w:color="auto" w:fill="FFFFFF"/>
        </w:rPr>
        <w:t>消費者</w:t>
      </w:r>
      <w:r w:rsidR="00D00541" w:rsidRPr="005F6787">
        <w:rPr>
          <w:szCs w:val="21"/>
          <w:shd w:val="clear" w:color="auto" w:fill="FFFFFF"/>
        </w:rPr>
        <w:t>の間の</w:t>
      </w:r>
      <w:r w:rsidRPr="005F6787">
        <w:rPr>
          <w:szCs w:val="21"/>
          <w:shd w:val="clear" w:color="auto" w:fill="FFFFFF"/>
        </w:rPr>
        <w:t>取引という２つの異なる局面に</w:t>
      </w:r>
      <w:r w:rsidR="00D421DE" w:rsidRPr="005F6787">
        <w:rPr>
          <w:szCs w:val="21"/>
          <w:shd w:val="clear" w:color="auto" w:fill="FFFFFF"/>
        </w:rPr>
        <w:t>おい</w:t>
      </w:r>
      <w:r w:rsidRPr="005F6787">
        <w:rPr>
          <w:szCs w:val="21"/>
          <w:shd w:val="clear" w:color="auto" w:fill="FFFFFF"/>
        </w:rPr>
        <w:t>て、多様な</w:t>
      </w:r>
      <w:r w:rsidR="0087416B" w:rsidRPr="005F6787">
        <w:rPr>
          <w:szCs w:val="21"/>
          <w:shd w:val="clear" w:color="auto" w:fill="FFFFFF"/>
        </w:rPr>
        <w:t>展開をみせつつある</w:t>
      </w:r>
      <w:r w:rsidR="00956E03" w:rsidRPr="005F6787">
        <w:rPr>
          <w:szCs w:val="21"/>
          <w:shd w:val="clear" w:color="auto" w:fill="FFFFFF"/>
        </w:rPr>
        <w:t>。</w:t>
      </w:r>
      <w:r w:rsidR="00437DC1" w:rsidRPr="005F6787">
        <w:rPr>
          <w:szCs w:val="21"/>
          <w:shd w:val="clear" w:color="auto" w:fill="FFFFFF"/>
        </w:rPr>
        <w:t>本稿は、後者の消費者取引を対象とし、かつ、</w:t>
      </w:r>
      <w:r w:rsidR="0087416B" w:rsidRPr="005F6787">
        <w:rPr>
          <w:szCs w:val="21"/>
          <w:shd w:val="clear" w:color="auto" w:fill="FFFFFF"/>
        </w:rPr>
        <w:t>憲法ないし個人情報保護法・民法との関連に</w:t>
      </w:r>
      <w:r w:rsidR="0087416B" w:rsidRPr="005F6787">
        <w:rPr>
          <w:szCs w:val="21"/>
          <w:shd w:val="clear" w:color="auto" w:fill="FFFFFF"/>
        </w:rPr>
        <w:lastRenderedPageBreak/>
        <w:t>焦点を合わせて検討を行う。</w:t>
      </w:r>
    </w:p>
    <w:p w14:paraId="76490B14" w14:textId="77777777" w:rsidR="00D73B1C" w:rsidRPr="005F6787" w:rsidRDefault="00956E03" w:rsidP="00A76638">
      <w:pPr>
        <w:jc w:val="left"/>
        <w:rPr>
          <w:szCs w:val="21"/>
          <w:shd w:val="clear" w:color="auto" w:fill="FFFFFF"/>
        </w:rPr>
      </w:pPr>
      <w:r w:rsidRPr="005F6787">
        <w:rPr>
          <w:szCs w:val="21"/>
          <w:shd w:val="clear" w:color="auto" w:fill="FFFFFF"/>
        </w:rPr>
        <w:t xml:space="preserve">　</w:t>
      </w:r>
      <w:r w:rsidR="00A76638" w:rsidRPr="005F6787">
        <w:rPr>
          <w:szCs w:val="21"/>
          <w:shd w:val="clear" w:color="auto" w:fill="FFFFFF"/>
        </w:rPr>
        <w:t>消費者取引における消費者の権利を保護するという</w:t>
      </w:r>
      <w:r w:rsidR="00D73B1C" w:rsidRPr="005F6787">
        <w:rPr>
          <w:szCs w:val="21"/>
          <w:shd w:val="clear" w:color="auto" w:fill="FFFFFF"/>
        </w:rPr>
        <w:t>立場</w:t>
      </w:r>
      <w:r w:rsidR="00A76638" w:rsidRPr="005F6787">
        <w:rPr>
          <w:szCs w:val="21"/>
          <w:shd w:val="clear" w:color="auto" w:fill="FFFFFF"/>
        </w:rPr>
        <w:t>から</w:t>
      </w:r>
      <w:r w:rsidRPr="005F6787">
        <w:rPr>
          <w:szCs w:val="21"/>
          <w:shd w:val="clear" w:color="auto" w:fill="FFFFFF"/>
        </w:rPr>
        <w:t>、</w:t>
      </w:r>
      <w:r w:rsidRPr="005F6787">
        <w:rPr>
          <w:szCs w:val="21"/>
          <w:shd w:val="clear" w:color="auto" w:fill="FFFFFF"/>
        </w:rPr>
        <w:t>EU</w:t>
      </w:r>
      <w:r w:rsidR="00A76638" w:rsidRPr="005F6787">
        <w:rPr>
          <w:szCs w:val="21"/>
          <w:shd w:val="clear" w:color="auto" w:fill="FFFFFF"/>
        </w:rPr>
        <w:t>、ドイツ、フランスでは、近年、</w:t>
      </w:r>
      <w:r w:rsidRPr="005F6787">
        <w:rPr>
          <w:szCs w:val="21"/>
          <w:shd w:val="clear" w:color="auto" w:fill="FFFFFF"/>
        </w:rPr>
        <w:t>積極的な立法、行政による法適用を行って</w:t>
      </w:r>
      <w:r w:rsidR="00A76638" w:rsidRPr="005F6787">
        <w:rPr>
          <w:szCs w:val="21"/>
          <w:shd w:val="clear" w:color="auto" w:fill="FFFFFF"/>
        </w:rPr>
        <w:t>いるという点で日本と対照的であり、</w:t>
      </w:r>
      <w:r w:rsidRPr="005F6787">
        <w:rPr>
          <w:szCs w:val="21"/>
          <w:shd w:val="clear" w:color="auto" w:fill="FFFFFF"/>
        </w:rPr>
        <w:t>大変興味深い。</w:t>
      </w:r>
    </w:p>
    <w:p w14:paraId="6B3AF540" w14:textId="7E0EB316" w:rsidR="002972CB" w:rsidRPr="005F6787" w:rsidRDefault="00734B08" w:rsidP="00D73B1C">
      <w:pPr>
        <w:ind w:firstLineChars="100" w:firstLine="210"/>
        <w:jc w:val="left"/>
        <w:rPr>
          <w:szCs w:val="21"/>
        </w:rPr>
      </w:pPr>
      <w:r w:rsidRPr="005F6787">
        <w:rPr>
          <w:szCs w:val="21"/>
          <w:shd w:val="clear" w:color="auto" w:fill="FFFFFF"/>
        </w:rPr>
        <w:t>特に、</w:t>
      </w:r>
      <w:r w:rsidRPr="005F6787">
        <w:rPr>
          <w:szCs w:val="21"/>
        </w:rPr>
        <w:t>本稿で取り上げる、</w:t>
      </w:r>
      <w:r w:rsidR="00A76638" w:rsidRPr="005F6787">
        <w:rPr>
          <w:szCs w:val="21"/>
          <w:shd w:val="clear" w:color="auto" w:fill="FFFFFF"/>
        </w:rPr>
        <w:t>ドイツ</w:t>
      </w:r>
      <w:r w:rsidR="00A76638" w:rsidRPr="005F6787">
        <w:rPr>
          <w:szCs w:val="21"/>
        </w:rPr>
        <w:t>の連邦カルテル庁</w:t>
      </w:r>
      <w:r w:rsidRPr="005F6787">
        <w:rPr>
          <w:szCs w:val="21"/>
        </w:rPr>
        <w:t>による</w:t>
      </w:r>
      <w:r w:rsidR="00910095" w:rsidRPr="005F6787">
        <w:rPr>
          <w:szCs w:val="21"/>
        </w:rPr>
        <w:t>、フェイスブック</w:t>
      </w:r>
      <w:r w:rsidRPr="005F6787">
        <w:rPr>
          <w:szCs w:val="21"/>
        </w:rPr>
        <w:t>事件</w:t>
      </w:r>
      <w:r w:rsidR="00910095" w:rsidRPr="005F6787">
        <w:rPr>
          <w:szCs w:val="21"/>
        </w:rPr>
        <w:t>決定</w:t>
      </w:r>
      <w:r w:rsidRPr="005F6787">
        <w:rPr>
          <w:szCs w:val="21"/>
        </w:rPr>
        <w:t>は、市場支配的地位にある事業者と消費者の関係</w:t>
      </w:r>
      <w:r w:rsidR="00D00541" w:rsidRPr="005F6787">
        <w:rPr>
          <w:szCs w:val="21"/>
        </w:rPr>
        <w:t>につき、競争法のみならず、憲法、民法、個人情報保護法（ドイツではデータ保護法）を相互に関連させて</w:t>
      </w:r>
      <w:r w:rsidRPr="005F6787">
        <w:rPr>
          <w:szCs w:val="21"/>
        </w:rPr>
        <w:t>捉え</w:t>
      </w:r>
      <w:r w:rsidR="009C192A" w:rsidRPr="005F6787">
        <w:rPr>
          <w:szCs w:val="21"/>
        </w:rPr>
        <w:t>、</w:t>
      </w:r>
      <w:r w:rsidR="00EA744C" w:rsidRPr="005F6787">
        <w:rPr>
          <w:szCs w:val="21"/>
        </w:rPr>
        <w:t>プ</w:t>
      </w:r>
      <w:r w:rsidR="00D73B1C" w:rsidRPr="005F6787">
        <w:rPr>
          <w:szCs w:val="21"/>
        </w:rPr>
        <w:t>ラットフォーム事業者に対し、</w:t>
      </w:r>
      <w:r w:rsidR="00D00541" w:rsidRPr="005F6787">
        <w:rPr>
          <w:szCs w:val="21"/>
        </w:rPr>
        <w:t>消費者の基本権を</w:t>
      </w:r>
      <w:r w:rsidR="00D73B1C" w:rsidRPr="005F6787">
        <w:rPr>
          <w:szCs w:val="21"/>
          <w:shd w:val="clear" w:color="auto" w:fill="FFFFFF"/>
        </w:rPr>
        <w:t>「</w:t>
      </w:r>
      <w:r w:rsidR="00D73B1C" w:rsidRPr="005F6787">
        <w:rPr>
          <w:szCs w:val="21"/>
        </w:rPr>
        <w:t>情報上の自己決定権」として確保するという視点から、</w:t>
      </w:r>
      <w:r w:rsidRPr="005F6787">
        <w:rPr>
          <w:szCs w:val="21"/>
        </w:rPr>
        <w:t>多様な</w:t>
      </w:r>
      <w:r w:rsidR="009C192A" w:rsidRPr="005F6787">
        <w:rPr>
          <w:szCs w:val="21"/>
        </w:rPr>
        <w:t>法的</w:t>
      </w:r>
      <w:r w:rsidRPr="005F6787">
        <w:rPr>
          <w:szCs w:val="21"/>
        </w:rPr>
        <w:t>問題</w:t>
      </w:r>
      <w:r w:rsidR="009C192A" w:rsidRPr="005F6787">
        <w:rPr>
          <w:szCs w:val="21"/>
        </w:rPr>
        <w:t>を</w:t>
      </w:r>
      <w:r w:rsidRPr="005F6787">
        <w:rPr>
          <w:szCs w:val="21"/>
        </w:rPr>
        <w:t>提起していると思われる</w:t>
      </w:r>
      <w:r w:rsidR="002972CB" w:rsidRPr="005F6787">
        <w:rPr>
          <w:szCs w:val="21"/>
        </w:rPr>
        <w:t>。</w:t>
      </w:r>
    </w:p>
    <w:p w14:paraId="4FDF832C" w14:textId="77777777" w:rsidR="002972CB" w:rsidRPr="005F6787" w:rsidRDefault="002972CB" w:rsidP="004852AC">
      <w:pPr>
        <w:ind w:firstLineChars="100" w:firstLine="210"/>
        <w:jc w:val="left"/>
        <w:rPr>
          <w:szCs w:val="21"/>
          <w:shd w:val="clear" w:color="auto" w:fill="FFFFFF"/>
        </w:rPr>
      </w:pPr>
    </w:p>
    <w:p w14:paraId="4CB8109E" w14:textId="77777777" w:rsidR="002972CB" w:rsidRPr="005F6787" w:rsidRDefault="00BA66A0" w:rsidP="00A24B1B">
      <w:pPr>
        <w:pStyle w:val="1"/>
        <w:rPr>
          <w:rFonts w:asciiTheme="minorHAnsi" w:eastAsiaTheme="minorEastAsia" w:hAnsiTheme="minorHAnsi"/>
          <w:b/>
          <w:sz w:val="21"/>
          <w:szCs w:val="21"/>
        </w:rPr>
      </w:pPr>
      <w:r w:rsidRPr="005F6787">
        <w:rPr>
          <w:rFonts w:ascii="ＭＳ 明朝" w:eastAsia="ＭＳ 明朝" w:hAnsi="ＭＳ 明朝" w:cs="ＭＳ 明朝" w:hint="eastAsia"/>
          <w:b/>
          <w:sz w:val="21"/>
          <w:szCs w:val="21"/>
        </w:rPr>
        <w:t>Ⅱ</w:t>
      </w:r>
      <w:r w:rsidR="002972CB" w:rsidRPr="005F6787">
        <w:rPr>
          <w:rFonts w:asciiTheme="minorHAnsi" w:eastAsiaTheme="minorEastAsia" w:hAnsiTheme="minorHAnsi"/>
          <w:b/>
          <w:sz w:val="21"/>
          <w:szCs w:val="21"/>
        </w:rPr>
        <w:t>．ドイツ</w:t>
      </w:r>
      <w:r w:rsidR="002972CB" w:rsidRPr="005F6787">
        <w:rPr>
          <w:rFonts w:asciiTheme="minorHAnsi" w:eastAsiaTheme="minorEastAsia" w:hAnsiTheme="minorHAnsi"/>
          <w:b/>
          <w:sz w:val="21"/>
          <w:szCs w:val="21"/>
        </w:rPr>
        <w:t>FB(</w:t>
      </w:r>
      <w:r w:rsidR="002972CB" w:rsidRPr="005F6787">
        <w:rPr>
          <w:rFonts w:asciiTheme="minorHAnsi" w:eastAsiaTheme="minorEastAsia" w:hAnsiTheme="minorHAnsi"/>
          <w:b/>
          <w:sz w:val="21"/>
          <w:szCs w:val="21"/>
        </w:rPr>
        <w:t>フェイスブック</w:t>
      </w:r>
      <w:r w:rsidR="002972CB" w:rsidRPr="005F6787">
        <w:rPr>
          <w:rFonts w:asciiTheme="minorHAnsi" w:eastAsiaTheme="minorEastAsia" w:hAnsiTheme="minorHAnsi"/>
          <w:b/>
          <w:sz w:val="21"/>
          <w:szCs w:val="21"/>
        </w:rPr>
        <w:t>)</w:t>
      </w:r>
      <w:r w:rsidR="002972CB" w:rsidRPr="005F6787">
        <w:rPr>
          <w:rFonts w:asciiTheme="minorHAnsi" w:eastAsiaTheme="minorEastAsia" w:hAnsiTheme="minorHAnsi"/>
          <w:b/>
          <w:sz w:val="21"/>
          <w:szCs w:val="21"/>
        </w:rPr>
        <w:t>事件</w:t>
      </w:r>
    </w:p>
    <w:p w14:paraId="4C624AE0" w14:textId="77777777" w:rsidR="002972CB" w:rsidRPr="005F6787" w:rsidRDefault="00BA66A0" w:rsidP="00534BF5">
      <w:pPr>
        <w:pStyle w:val="1"/>
        <w:rPr>
          <w:rFonts w:asciiTheme="minorHAnsi" w:eastAsiaTheme="minorEastAsia" w:hAnsiTheme="minorHAnsi"/>
          <w:b/>
          <w:sz w:val="21"/>
          <w:szCs w:val="21"/>
        </w:rPr>
      </w:pPr>
      <w:r w:rsidRPr="005F6787">
        <w:rPr>
          <w:rFonts w:asciiTheme="minorHAnsi" w:eastAsiaTheme="minorEastAsia" w:hAnsiTheme="minorHAnsi"/>
          <w:b/>
          <w:sz w:val="21"/>
          <w:szCs w:val="21"/>
        </w:rPr>
        <w:t>1.</w:t>
      </w:r>
      <w:r w:rsidR="002972CB" w:rsidRPr="005F6787">
        <w:rPr>
          <w:rFonts w:asciiTheme="minorHAnsi" w:eastAsiaTheme="minorEastAsia" w:hAnsiTheme="minorHAnsi"/>
          <w:b/>
          <w:sz w:val="21"/>
          <w:szCs w:val="21"/>
        </w:rPr>
        <w:t xml:space="preserve">　違反行為</w:t>
      </w:r>
    </w:p>
    <w:p w14:paraId="71DF462B" w14:textId="38D49B1F" w:rsidR="002972CB" w:rsidRPr="005F6787" w:rsidRDefault="00BA66A0" w:rsidP="00B46D6C">
      <w:pPr>
        <w:rPr>
          <w:szCs w:val="21"/>
        </w:rPr>
      </w:pPr>
      <w:r w:rsidRPr="005F6787">
        <w:rPr>
          <w:szCs w:val="21"/>
        </w:rPr>
        <w:t>(1</w:t>
      </w:r>
      <w:r w:rsidR="002972CB" w:rsidRPr="005F6787">
        <w:rPr>
          <w:szCs w:val="21"/>
        </w:rPr>
        <w:t xml:space="preserve">) </w:t>
      </w:r>
      <w:r w:rsidR="002972CB" w:rsidRPr="005F6787">
        <w:rPr>
          <w:szCs w:val="21"/>
        </w:rPr>
        <w:t>ドイツの連邦カルテル庁は，</w:t>
      </w:r>
      <w:r w:rsidR="002972CB" w:rsidRPr="005F6787">
        <w:rPr>
          <w:szCs w:val="21"/>
        </w:rPr>
        <w:t>2019</w:t>
      </w:r>
      <w:r w:rsidR="002972CB" w:rsidRPr="005F6787">
        <w:rPr>
          <w:szCs w:val="21"/>
        </w:rPr>
        <w:t>年</w:t>
      </w:r>
      <w:r w:rsidR="002972CB" w:rsidRPr="005F6787">
        <w:rPr>
          <w:szCs w:val="21"/>
        </w:rPr>
        <w:t>2</w:t>
      </w:r>
      <w:r w:rsidR="002972CB" w:rsidRPr="005F6787">
        <w:rPr>
          <w:szCs w:val="21"/>
        </w:rPr>
        <w:t>月</w:t>
      </w:r>
      <w:r w:rsidR="002972CB" w:rsidRPr="005F6787">
        <w:rPr>
          <w:szCs w:val="21"/>
        </w:rPr>
        <w:t>6</w:t>
      </w:r>
      <w:r w:rsidR="002972CB" w:rsidRPr="005F6787">
        <w:rPr>
          <w:szCs w:val="21"/>
        </w:rPr>
        <w:t>日，</w:t>
      </w:r>
      <w:r w:rsidR="002972CB" w:rsidRPr="005F6787">
        <w:rPr>
          <w:szCs w:val="21"/>
        </w:rPr>
        <w:t>2016</w:t>
      </w:r>
      <w:r w:rsidR="002972CB" w:rsidRPr="005F6787">
        <w:rPr>
          <w:szCs w:val="21"/>
        </w:rPr>
        <w:t>年に調査開始したフェイスブック社とそのドイツ子会社（以下、</w:t>
      </w:r>
      <w:r w:rsidR="002972CB" w:rsidRPr="005F6787">
        <w:rPr>
          <w:szCs w:val="21"/>
        </w:rPr>
        <w:t>FB</w:t>
      </w:r>
      <w:r w:rsidR="002972CB" w:rsidRPr="005F6787">
        <w:rPr>
          <w:szCs w:val="21"/>
        </w:rPr>
        <w:t>と略記）に対する競争制限禁止法</w:t>
      </w:r>
      <w:r w:rsidR="002972CB" w:rsidRPr="005F6787">
        <w:rPr>
          <w:szCs w:val="21"/>
        </w:rPr>
        <w:t>(GWB)19</w:t>
      </w:r>
      <w:r w:rsidR="002972CB" w:rsidRPr="005F6787">
        <w:rPr>
          <w:szCs w:val="21"/>
        </w:rPr>
        <w:t>条違反被疑事件につき、大略次のような</w:t>
      </w:r>
      <w:r w:rsidR="00530450" w:rsidRPr="005F6787">
        <w:rPr>
          <w:szCs w:val="21"/>
        </w:rPr>
        <w:t>FB</w:t>
      </w:r>
      <w:r w:rsidR="00530450" w:rsidRPr="005F6787">
        <w:rPr>
          <w:szCs w:val="21"/>
        </w:rPr>
        <w:t>の</w:t>
      </w:r>
      <w:r w:rsidR="002972CB" w:rsidRPr="005F6787">
        <w:rPr>
          <w:szCs w:val="21"/>
        </w:rPr>
        <w:t>行為が同法</w:t>
      </w:r>
      <w:r w:rsidR="002972CB" w:rsidRPr="005F6787">
        <w:rPr>
          <w:szCs w:val="21"/>
        </w:rPr>
        <w:t>19</w:t>
      </w:r>
      <w:r w:rsidR="002972CB" w:rsidRPr="005F6787">
        <w:rPr>
          <w:szCs w:val="21"/>
        </w:rPr>
        <w:t>条</w:t>
      </w:r>
      <w:r w:rsidR="002972CB" w:rsidRPr="005F6787">
        <w:rPr>
          <w:szCs w:val="21"/>
        </w:rPr>
        <w:t>1</w:t>
      </w:r>
      <w:r w:rsidR="002972CB" w:rsidRPr="005F6787">
        <w:rPr>
          <w:szCs w:val="21"/>
        </w:rPr>
        <w:t>項の「濫用」に当たるとし、違反行為を停止すべきことを命令する決定を下した（</w:t>
      </w:r>
      <w:r w:rsidR="002972CB" w:rsidRPr="005F6787">
        <w:rPr>
          <w:szCs w:val="21"/>
        </w:rPr>
        <w:t>32</w:t>
      </w:r>
      <w:r w:rsidR="002972CB" w:rsidRPr="005F6787">
        <w:rPr>
          <w:szCs w:val="21"/>
        </w:rPr>
        <w:t>条</w:t>
      </w:r>
      <w:r w:rsidR="002972CB" w:rsidRPr="005F6787">
        <w:rPr>
          <w:szCs w:val="21"/>
        </w:rPr>
        <w:t>1</w:t>
      </w:r>
      <w:r w:rsidR="002972CB" w:rsidRPr="005F6787">
        <w:rPr>
          <w:szCs w:val="21"/>
        </w:rPr>
        <w:t>項）</w:t>
      </w:r>
      <w:r w:rsidR="002972CB" w:rsidRPr="005F6787">
        <w:rPr>
          <w:rStyle w:val="ad"/>
          <w:szCs w:val="21"/>
        </w:rPr>
        <w:footnoteReference w:id="2"/>
      </w:r>
      <w:r w:rsidR="002972CB" w:rsidRPr="005F6787">
        <w:rPr>
          <w:szCs w:val="21"/>
        </w:rPr>
        <w:t>。</w:t>
      </w:r>
    </w:p>
    <w:p w14:paraId="1D93D4D0" w14:textId="77777777" w:rsidR="002972CB" w:rsidRPr="005F6787" w:rsidRDefault="002972CB" w:rsidP="002711B8">
      <w:pPr>
        <w:ind w:firstLineChars="100" w:firstLine="210"/>
        <w:rPr>
          <w:szCs w:val="21"/>
        </w:rPr>
      </w:pPr>
      <w:r w:rsidRPr="005F6787">
        <w:rPr>
          <w:szCs w:val="21"/>
        </w:rPr>
        <w:t>同決定によれば、</w:t>
      </w:r>
      <w:r w:rsidRPr="005F6787">
        <w:rPr>
          <w:szCs w:val="21"/>
        </w:rPr>
        <w:t>FB</w:t>
      </w:r>
      <w:r w:rsidRPr="005F6787">
        <w:rPr>
          <w:szCs w:val="21"/>
        </w:rPr>
        <w:t>は、同社の企業グループに属する</w:t>
      </w:r>
      <w:r w:rsidRPr="005F6787">
        <w:rPr>
          <w:szCs w:val="21"/>
        </w:rPr>
        <w:t>Instagram</w:t>
      </w:r>
      <w:r w:rsidRPr="005F6787">
        <w:rPr>
          <w:szCs w:val="21"/>
        </w:rPr>
        <w:t>、</w:t>
      </w:r>
      <w:r w:rsidRPr="005F6787">
        <w:rPr>
          <w:szCs w:val="21"/>
        </w:rPr>
        <w:t>WhatsApp</w:t>
      </w:r>
      <w:r w:rsidRPr="005F6787">
        <w:rPr>
          <w:szCs w:val="21"/>
        </w:rPr>
        <w:t>等の利用に関し収集されたユーザーデータとデバイス</w:t>
      </w:r>
      <w:r w:rsidR="009B35DB" w:rsidRPr="005F6787">
        <w:rPr>
          <w:rFonts w:cs="Times New Roman"/>
          <w:szCs w:val="21"/>
        </w:rPr>
        <w:t>関連</w:t>
      </w:r>
      <w:r w:rsidRPr="005F6787">
        <w:rPr>
          <w:szCs w:val="21"/>
        </w:rPr>
        <w:t>データを、ユーザーの同意なしに、</w:t>
      </w:r>
      <w:r w:rsidRPr="005F6787">
        <w:rPr>
          <w:szCs w:val="21"/>
        </w:rPr>
        <w:t>FB</w:t>
      </w:r>
      <w:r w:rsidRPr="005F6787">
        <w:rPr>
          <w:szCs w:val="21"/>
        </w:rPr>
        <w:t>のユーザーアカウントに結び付けて、使用することができるようにしている</w:t>
      </w:r>
      <w:r w:rsidRPr="005F6787">
        <w:rPr>
          <w:rStyle w:val="ad"/>
          <w:szCs w:val="21"/>
        </w:rPr>
        <w:footnoteReference w:id="3"/>
      </w:r>
      <w:r w:rsidRPr="005F6787">
        <w:rPr>
          <w:szCs w:val="21"/>
        </w:rPr>
        <w:t>。</w:t>
      </w:r>
    </w:p>
    <w:p w14:paraId="4B57E656" w14:textId="77777777" w:rsidR="009B35DB" w:rsidRPr="005F6787" w:rsidRDefault="009B35DB" w:rsidP="002711B8">
      <w:pPr>
        <w:ind w:firstLineChars="100" w:firstLine="210"/>
        <w:rPr>
          <w:szCs w:val="21"/>
        </w:rPr>
      </w:pPr>
      <w:r w:rsidRPr="005F6787">
        <w:rPr>
          <w:szCs w:val="21"/>
        </w:rPr>
        <w:t>また、</w:t>
      </w:r>
      <w:r w:rsidRPr="005F6787">
        <w:rPr>
          <w:szCs w:val="21"/>
        </w:rPr>
        <w:t>FB</w:t>
      </w:r>
      <w:r w:rsidRPr="005F6787">
        <w:rPr>
          <w:szCs w:val="21"/>
        </w:rPr>
        <w:t>は、</w:t>
      </w:r>
      <w:hyperlink r:id="rId9" w:history="1">
        <w:r w:rsidRPr="005F6787">
          <w:rPr>
            <w:rStyle w:val="a3"/>
            <w:rFonts w:cs="Times New Roman"/>
            <w:color w:val="auto"/>
            <w:szCs w:val="21"/>
          </w:rPr>
          <w:t>facebook.com</w:t>
        </w:r>
      </w:hyperlink>
      <w:r w:rsidRPr="005F6787">
        <w:rPr>
          <w:rFonts w:cs="Times New Roman"/>
          <w:szCs w:val="21"/>
        </w:rPr>
        <w:t>またはグループ内部のプログラミングインターフェイスのプロバイダー（</w:t>
      </w:r>
      <w:r w:rsidRPr="005F6787">
        <w:rPr>
          <w:rFonts w:cs="Times New Roman"/>
          <w:szCs w:val="21"/>
        </w:rPr>
        <w:t>Facebook Business Tools</w:t>
      </w:r>
      <w:r w:rsidRPr="005F6787">
        <w:rPr>
          <w:rFonts w:cs="Times New Roman"/>
          <w:szCs w:val="21"/>
        </w:rPr>
        <w:t>）を利用して，ドイツに居住する個人ユーザーがウェブサイトを訪問したりサードパーティのモバイルアプリを使用したりするときに，これらのユーザーの同意なしに，ユーザーデータとデバイス関連データを収集し，これらのデータを統合して利用する</w:t>
      </w:r>
      <w:r w:rsidRPr="005F6787">
        <w:rPr>
          <w:szCs w:val="21"/>
        </w:rPr>
        <w:t>ことができるようにしている。（</w:t>
      </w:r>
      <w:r w:rsidR="00530450" w:rsidRPr="005F6787">
        <w:rPr>
          <w:szCs w:val="21"/>
        </w:rPr>
        <w:t>本決定の</w:t>
      </w:r>
      <w:r w:rsidRPr="005F6787">
        <w:rPr>
          <w:rFonts w:cs="Arial"/>
          <w:kern w:val="0"/>
          <w:szCs w:val="21"/>
        </w:rPr>
        <w:t>Tenor=</w:t>
      </w:r>
      <w:r w:rsidRPr="005F6787">
        <w:rPr>
          <w:rFonts w:cs="Arial"/>
          <w:kern w:val="0"/>
          <w:szCs w:val="21"/>
        </w:rPr>
        <w:t>主文、</w:t>
      </w:r>
      <w:r w:rsidRPr="005F6787">
        <w:rPr>
          <w:szCs w:val="21"/>
        </w:rPr>
        <w:t>Rn.522</w:t>
      </w:r>
      <w:r w:rsidRPr="005F6787">
        <w:rPr>
          <w:szCs w:val="21"/>
        </w:rPr>
        <w:t>）</w:t>
      </w:r>
    </w:p>
    <w:p w14:paraId="062C429E" w14:textId="77777777" w:rsidR="002972CB" w:rsidRPr="005F6787" w:rsidRDefault="002972CB" w:rsidP="00437DC1">
      <w:pPr>
        <w:ind w:firstLineChars="100" w:firstLine="210"/>
        <w:rPr>
          <w:szCs w:val="21"/>
        </w:rPr>
      </w:pPr>
      <w:r w:rsidRPr="005F6787">
        <w:rPr>
          <w:szCs w:val="21"/>
        </w:rPr>
        <w:t>「</w:t>
      </w:r>
      <w:r w:rsidRPr="005F6787">
        <w:rPr>
          <w:rFonts w:cs="Times New Roman"/>
          <w:szCs w:val="21"/>
        </w:rPr>
        <w:t>FB</w:t>
      </w:r>
      <w:r w:rsidRPr="005F6787">
        <w:rPr>
          <w:rFonts w:cs="Times New Roman"/>
          <w:szCs w:val="21"/>
        </w:rPr>
        <w:t>のデータ・クッキーポリシーまたは対応する契約文書を通して具体化される利用条件の使用とその実施は，市場力の表出</w:t>
      </w:r>
      <w:r w:rsidRPr="005F6787">
        <w:rPr>
          <w:szCs w:val="21"/>
        </w:rPr>
        <w:t>（</w:t>
      </w:r>
      <w:r w:rsidRPr="005F6787">
        <w:rPr>
          <w:rFonts w:cs="Arial"/>
          <w:kern w:val="0"/>
          <w:szCs w:val="21"/>
        </w:rPr>
        <w:t>Ausfluss von Marktmacht</w:t>
      </w:r>
      <w:r w:rsidRPr="005F6787">
        <w:rPr>
          <w:szCs w:val="21"/>
        </w:rPr>
        <w:t>)</w:t>
      </w:r>
      <w:r w:rsidRPr="005F6787">
        <w:rPr>
          <w:rFonts w:cs="Times New Roman"/>
          <w:szCs w:val="21"/>
        </w:rPr>
        <w:t>として</w:t>
      </w:r>
      <w:r w:rsidRPr="005F6787">
        <w:rPr>
          <w:rFonts w:cs="Times New Roman"/>
          <w:szCs w:val="21"/>
        </w:rPr>
        <w:t>GDPR</w:t>
      </w:r>
      <w:r w:rsidRPr="005F6787">
        <w:rPr>
          <w:rFonts w:cs="Times New Roman"/>
          <w:szCs w:val="21"/>
        </w:rPr>
        <w:t>の原則に</w:t>
      </w:r>
      <w:r w:rsidRPr="005F6787">
        <w:rPr>
          <w:rFonts w:cs="Times New Roman"/>
          <w:szCs w:val="21"/>
        </w:rPr>
        <w:lastRenderedPageBreak/>
        <w:t>反するものであり、</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項の一般条項に基づく条件濫用の形態における市場支配的地位の濫用行為に当たる</w:t>
      </w:r>
      <w:r w:rsidRPr="005F6787">
        <w:rPr>
          <w:szCs w:val="21"/>
        </w:rPr>
        <w:t>」（</w:t>
      </w:r>
      <w:r w:rsidRPr="005F6787">
        <w:rPr>
          <w:szCs w:val="21"/>
        </w:rPr>
        <w:t>Rn.523</w:t>
      </w:r>
      <w:r w:rsidRPr="005F6787">
        <w:rPr>
          <w:szCs w:val="21"/>
        </w:rPr>
        <w:t>）</w:t>
      </w:r>
      <w:r w:rsidR="00530450" w:rsidRPr="005F6787">
        <w:rPr>
          <w:szCs w:val="21"/>
        </w:rPr>
        <w:t>。</w:t>
      </w:r>
    </w:p>
    <w:p w14:paraId="6B0464EA" w14:textId="77777777" w:rsidR="00530450" w:rsidRPr="005F6787" w:rsidRDefault="00534BF5" w:rsidP="00530450">
      <w:pPr>
        <w:ind w:firstLineChars="100" w:firstLine="210"/>
        <w:rPr>
          <w:szCs w:val="21"/>
        </w:rPr>
      </w:pPr>
      <w:r w:rsidRPr="005F6787">
        <w:rPr>
          <w:szCs w:val="21"/>
        </w:rPr>
        <w:t>この</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項</w:t>
      </w:r>
      <w:r w:rsidR="002972CB" w:rsidRPr="005F6787">
        <w:rPr>
          <w:szCs w:val="21"/>
        </w:rPr>
        <w:t>違反</w:t>
      </w:r>
      <w:r w:rsidRPr="005F6787">
        <w:rPr>
          <w:szCs w:val="21"/>
        </w:rPr>
        <w:t>に当たるとする判断</w:t>
      </w:r>
      <w:r w:rsidR="002972CB" w:rsidRPr="005F6787">
        <w:rPr>
          <w:szCs w:val="21"/>
        </w:rPr>
        <w:t>は、より具体的には、</w:t>
      </w:r>
      <w:r w:rsidR="00530450" w:rsidRPr="005F6787">
        <w:rPr>
          <w:szCs w:val="21"/>
        </w:rPr>
        <w:t>GDPR</w:t>
      </w:r>
      <w:r w:rsidR="00530450" w:rsidRPr="005F6787">
        <w:rPr>
          <w:szCs w:val="21"/>
        </w:rPr>
        <w:t>及び</w:t>
      </w:r>
      <w:r w:rsidR="002972CB" w:rsidRPr="005F6787">
        <w:rPr>
          <w:szCs w:val="21"/>
        </w:rPr>
        <w:t>データ保護法違反を根拠とするものである。</w:t>
      </w:r>
      <w:r w:rsidR="00530450" w:rsidRPr="005F6787">
        <w:rPr>
          <w:szCs w:val="21"/>
        </w:rPr>
        <w:t>上の</w:t>
      </w:r>
      <w:r w:rsidR="00530450" w:rsidRPr="005F6787">
        <w:rPr>
          <w:szCs w:val="21"/>
        </w:rPr>
        <w:t>GDPR</w:t>
      </w:r>
      <w:r w:rsidR="00530450" w:rsidRPr="005F6787">
        <w:rPr>
          <w:szCs w:val="21"/>
        </w:rPr>
        <w:t>とは、</w:t>
      </w:r>
      <w:r w:rsidR="00530450" w:rsidRPr="005F6787">
        <w:rPr>
          <w:szCs w:val="21"/>
        </w:rPr>
        <w:t>EU</w:t>
      </w:r>
      <w:r w:rsidR="00530450" w:rsidRPr="005F6787">
        <w:rPr>
          <w:szCs w:val="21"/>
        </w:rPr>
        <w:t>の一般データ保護規則（</w:t>
      </w:r>
      <w:r w:rsidR="00530450" w:rsidRPr="005F6787">
        <w:rPr>
          <w:szCs w:val="21"/>
        </w:rPr>
        <w:t xml:space="preserve">DSGVO. </w:t>
      </w:r>
      <w:r w:rsidR="00530450" w:rsidRPr="005F6787">
        <w:rPr>
          <w:szCs w:val="21"/>
        </w:rPr>
        <w:t>ここでは日本での慣用に従って</w:t>
      </w:r>
      <w:r w:rsidR="00530450" w:rsidRPr="005F6787">
        <w:rPr>
          <w:szCs w:val="21"/>
        </w:rPr>
        <w:t>GDPR</w:t>
      </w:r>
      <w:r w:rsidR="00530450" w:rsidRPr="005F6787">
        <w:rPr>
          <w:szCs w:val="21"/>
        </w:rPr>
        <w:t>と表記する）であり、</w:t>
      </w:r>
      <w:r w:rsidR="00530450" w:rsidRPr="005F6787">
        <w:rPr>
          <w:szCs w:val="21"/>
        </w:rPr>
        <w:t>2018</w:t>
      </w:r>
      <w:r w:rsidR="00530450" w:rsidRPr="005F6787">
        <w:rPr>
          <w:szCs w:val="21"/>
        </w:rPr>
        <w:t>年</w:t>
      </w:r>
      <w:r w:rsidR="00530450" w:rsidRPr="005F6787">
        <w:rPr>
          <w:szCs w:val="21"/>
        </w:rPr>
        <w:t>5</w:t>
      </w:r>
      <w:r w:rsidR="00530450" w:rsidRPr="005F6787">
        <w:rPr>
          <w:szCs w:val="21"/>
        </w:rPr>
        <w:t>月</w:t>
      </w:r>
      <w:r w:rsidR="00530450" w:rsidRPr="005F6787">
        <w:rPr>
          <w:szCs w:val="21"/>
        </w:rPr>
        <w:t>25</w:t>
      </w:r>
      <w:r w:rsidR="00530450" w:rsidRPr="005F6787">
        <w:rPr>
          <w:szCs w:val="21"/>
        </w:rPr>
        <w:t>日より欧州全域に直接適用されている</w:t>
      </w:r>
      <w:r w:rsidR="00530450" w:rsidRPr="005F6787">
        <w:rPr>
          <w:rStyle w:val="ad"/>
          <w:szCs w:val="21"/>
        </w:rPr>
        <w:footnoteReference w:id="4"/>
      </w:r>
      <w:r w:rsidR="00530450" w:rsidRPr="005F6787">
        <w:rPr>
          <w:szCs w:val="21"/>
        </w:rPr>
        <w:t>。</w:t>
      </w:r>
    </w:p>
    <w:p w14:paraId="22A043B8" w14:textId="77777777" w:rsidR="002972CB" w:rsidRPr="005F6787" w:rsidRDefault="002972CB" w:rsidP="00E30A54">
      <w:pPr>
        <w:ind w:firstLineChars="100" w:firstLine="210"/>
        <w:rPr>
          <w:rFonts w:cs="Times New Roman"/>
          <w:szCs w:val="21"/>
        </w:rPr>
      </w:pPr>
      <w:r w:rsidRPr="005F6787">
        <w:rPr>
          <w:szCs w:val="21"/>
        </w:rPr>
        <w:t>「</w:t>
      </w:r>
      <w:r w:rsidRPr="005F6787">
        <w:rPr>
          <w:szCs w:val="21"/>
        </w:rPr>
        <w:t xml:space="preserve">FB </w:t>
      </w:r>
      <w:r w:rsidRPr="005F6787">
        <w:rPr>
          <w:szCs w:val="21"/>
        </w:rPr>
        <w:t>コンツェルン所属の他のサービス提供業者（</w:t>
      </w:r>
      <w:r w:rsidRPr="005F6787">
        <w:rPr>
          <w:szCs w:val="21"/>
        </w:rPr>
        <w:t>WhatsApp</w:t>
      </w:r>
      <w:r w:rsidRPr="005F6787">
        <w:rPr>
          <w:szCs w:val="21"/>
        </w:rPr>
        <w:t>、</w:t>
      </w:r>
      <w:r w:rsidRPr="005F6787">
        <w:rPr>
          <w:szCs w:val="21"/>
        </w:rPr>
        <w:t>Instagram</w:t>
      </w:r>
      <w:r w:rsidRPr="005F6787">
        <w:rPr>
          <w:szCs w:val="21"/>
        </w:rPr>
        <w:t>等</w:t>
      </w:r>
      <w:r w:rsidRPr="005F6787">
        <w:rPr>
          <w:szCs w:val="21"/>
        </w:rPr>
        <w:t>---</w:t>
      </w:r>
      <w:r w:rsidRPr="005F6787">
        <w:rPr>
          <w:szCs w:val="21"/>
        </w:rPr>
        <w:t>舟田注）や</w:t>
      </w:r>
      <w:r w:rsidRPr="005F6787">
        <w:rPr>
          <w:szCs w:val="21"/>
        </w:rPr>
        <w:t xml:space="preserve"> Facebook Business Tools </w:t>
      </w:r>
      <w:r w:rsidRPr="005F6787">
        <w:rPr>
          <w:szCs w:val="21"/>
        </w:rPr>
        <w:t>を通じ収集したデータを処理することは、</w:t>
      </w:r>
      <w:r w:rsidRPr="005F6787">
        <w:rPr>
          <w:rFonts w:cs="Times New Roman"/>
          <w:szCs w:val="21"/>
        </w:rPr>
        <w:t>GDPR</w:t>
      </w:r>
      <w:r w:rsidRPr="005F6787">
        <w:rPr>
          <w:rFonts w:cs="Times New Roman"/>
          <w:szCs w:val="21"/>
        </w:rPr>
        <w:t>に基づくヨーロッパのデータ保護法に違反する。</w:t>
      </w:r>
      <w:r w:rsidRPr="005F6787">
        <w:rPr>
          <w:rFonts w:cs="Times New Roman"/>
          <w:szCs w:val="21"/>
        </w:rPr>
        <w:t>----- FB</w:t>
      </w:r>
      <w:r w:rsidRPr="005F6787">
        <w:rPr>
          <w:rFonts w:cs="Times New Roman"/>
          <w:szCs w:val="21"/>
        </w:rPr>
        <w:t>が利用条件としている、グループ内のサービス</w:t>
      </w:r>
      <w:r w:rsidR="006262A1" w:rsidRPr="005F6787">
        <w:rPr>
          <w:rFonts w:cs="Times New Roman"/>
          <w:szCs w:val="21"/>
        </w:rPr>
        <w:t>及び</w:t>
      </w:r>
      <w:r w:rsidRPr="005F6787">
        <w:rPr>
          <w:rFonts w:cs="Times New Roman"/>
          <w:szCs w:val="21"/>
        </w:rPr>
        <w:t>Facebook Business Tools</w:t>
      </w:r>
      <w:r w:rsidRPr="005F6787">
        <w:rPr>
          <w:rFonts w:cs="Times New Roman"/>
          <w:szCs w:val="21"/>
        </w:rPr>
        <w:t>からのデータの処理は、</w:t>
      </w:r>
      <w:r w:rsidRPr="005F6787">
        <w:rPr>
          <w:rFonts w:cs="Times New Roman"/>
          <w:szCs w:val="21"/>
        </w:rPr>
        <w:t>GDPR</w:t>
      </w:r>
      <w:r w:rsidRPr="005F6787">
        <w:rPr>
          <w:rFonts w:cs="Arial"/>
          <w:kern w:val="0"/>
          <w:szCs w:val="21"/>
        </w:rPr>
        <w:t xml:space="preserve"> 6</w:t>
      </w:r>
      <w:r w:rsidRPr="005F6787">
        <w:rPr>
          <w:rFonts w:cs="Arial"/>
          <w:kern w:val="0"/>
          <w:szCs w:val="21"/>
        </w:rPr>
        <w:t>条</w:t>
      </w:r>
      <w:r w:rsidRPr="005F6787">
        <w:rPr>
          <w:rFonts w:cs="Arial"/>
          <w:kern w:val="0"/>
          <w:szCs w:val="21"/>
        </w:rPr>
        <w:t>1</w:t>
      </w:r>
      <w:r w:rsidRPr="005F6787">
        <w:rPr>
          <w:rFonts w:cs="Arial"/>
          <w:kern w:val="0"/>
          <w:szCs w:val="21"/>
        </w:rPr>
        <w:t>項</w:t>
      </w:r>
      <w:r w:rsidR="006262A1" w:rsidRPr="005F6787">
        <w:rPr>
          <w:rFonts w:cs="Arial"/>
          <w:kern w:val="0"/>
          <w:szCs w:val="21"/>
        </w:rPr>
        <w:t>及び</w:t>
      </w:r>
      <w:r w:rsidRPr="005F6787">
        <w:rPr>
          <w:rFonts w:cs="Arial"/>
          <w:kern w:val="0"/>
          <w:szCs w:val="21"/>
        </w:rPr>
        <w:t>9</w:t>
      </w:r>
      <w:r w:rsidRPr="005F6787">
        <w:rPr>
          <w:rFonts w:cs="Arial"/>
          <w:kern w:val="0"/>
          <w:szCs w:val="21"/>
        </w:rPr>
        <w:t>条</w:t>
      </w:r>
      <w:r w:rsidRPr="005F6787">
        <w:rPr>
          <w:rFonts w:cs="Arial"/>
          <w:kern w:val="0"/>
          <w:szCs w:val="21"/>
        </w:rPr>
        <w:t>2</w:t>
      </w:r>
      <w:r w:rsidRPr="005F6787">
        <w:rPr>
          <w:rFonts w:cs="Arial"/>
          <w:kern w:val="0"/>
          <w:szCs w:val="21"/>
        </w:rPr>
        <w:t>項</w:t>
      </w:r>
      <w:r w:rsidRPr="005F6787">
        <w:rPr>
          <w:rFonts w:cs="Times New Roman"/>
          <w:szCs w:val="21"/>
        </w:rPr>
        <w:t>に基づく正当化根拠を有するものではない」</w:t>
      </w:r>
      <w:r w:rsidRPr="005F6787">
        <w:rPr>
          <w:rFonts w:cs="Times New Roman"/>
          <w:szCs w:val="21"/>
        </w:rPr>
        <w:t>(Rn.573)</w:t>
      </w:r>
      <w:r w:rsidRPr="005F6787">
        <w:rPr>
          <w:rFonts w:cs="Times New Roman"/>
          <w:szCs w:val="21"/>
        </w:rPr>
        <w:t>。</w:t>
      </w:r>
    </w:p>
    <w:p w14:paraId="7952B418" w14:textId="77777777" w:rsidR="002972CB" w:rsidRPr="005F6787" w:rsidRDefault="002972CB" w:rsidP="00E30A54">
      <w:pPr>
        <w:ind w:firstLineChars="100" w:firstLine="210"/>
        <w:rPr>
          <w:szCs w:val="21"/>
        </w:rPr>
      </w:pPr>
    </w:p>
    <w:p w14:paraId="74D3FD25" w14:textId="77777777" w:rsidR="002972CB" w:rsidRPr="005F6787" w:rsidRDefault="00BA66A0" w:rsidP="00B46D6C">
      <w:pPr>
        <w:rPr>
          <w:szCs w:val="21"/>
        </w:rPr>
      </w:pPr>
      <w:r w:rsidRPr="005F6787">
        <w:rPr>
          <w:szCs w:val="21"/>
        </w:rPr>
        <w:t>(2</w:t>
      </w:r>
      <w:r w:rsidR="002972CB" w:rsidRPr="005F6787">
        <w:rPr>
          <w:szCs w:val="21"/>
        </w:rPr>
        <w:t>)</w:t>
      </w:r>
      <w:r w:rsidR="002972CB" w:rsidRPr="005F6787">
        <w:rPr>
          <w:szCs w:val="21"/>
        </w:rPr>
        <w:t xml:space="preserve">　上記の違法の判断をもとに、カルテル庁は，</w:t>
      </w:r>
      <w:r w:rsidR="002972CB" w:rsidRPr="005F6787">
        <w:rPr>
          <w:szCs w:val="21"/>
        </w:rPr>
        <w:t>FB</w:t>
      </w:r>
      <w:r w:rsidR="002972CB" w:rsidRPr="005F6787">
        <w:rPr>
          <w:szCs w:val="21"/>
        </w:rPr>
        <w:t>（</w:t>
      </w:r>
      <w:r w:rsidR="002972CB" w:rsidRPr="005F6787">
        <w:rPr>
          <w:rFonts w:cs="Times New Roman"/>
          <w:szCs w:val="21"/>
        </w:rPr>
        <w:t>GWB36</w:t>
      </w:r>
      <w:r w:rsidR="002972CB" w:rsidRPr="005F6787">
        <w:rPr>
          <w:rFonts w:cs="Times New Roman"/>
          <w:szCs w:val="21"/>
        </w:rPr>
        <w:t>条</w:t>
      </w:r>
      <w:r w:rsidR="002972CB" w:rsidRPr="005F6787">
        <w:rPr>
          <w:rFonts w:cs="Times New Roman"/>
          <w:szCs w:val="21"/>
        </w:rPr>
        <w:t>2</w:t>
      </w:r>
      <w:r w:rsidR="002972CB" w:rsidRPr="005F6787">
        <w:rPr>
          <w:rFonts w:cs="Times New Roman"/>
          <w:szCs w:val="21"/>
        </w:rPr>
        <w:t>項に基づき</w:t>
      </w:r>
      <w:r w:rsidRPr="005F6787">
        <w:rPr>
          <w:rFonts w:cs="Times New Roman"/>
          <w:szCs w:val="21"/>
        </w:rPr>
        <w:t>、</w:t>
      </w:r>
      <w:r w:rsidR="002972CB" w:rsidRPr="005F6787">
        <w:rPr>
          <w:rFonts w:cs="Times New Roman"/>
          <w:szCs w:val="21"/>
        </w:rPr>
        <w:t>結合しているとされる事業者を含む）</w:t>
      </w:r>
      <w:r w:rsidR="002972CB" w:rsidRPr="005F6787">
        <w:rPr>
          <w:szCs w:val="21"/>
        </w:rPr>
        <w:t>に対し、利用条件の</w:t>
      </w:r>
      <w:r w:rsidR="002972CB" w:rsidRPr="005F6787">
        <w:rPr>
          <w:rFonts w:cs="Times New Roman"/>
          <w:szCs w:val="21"/>
        </w:rPr>
        <w:t>実施が禁止され、</w:t>
      </w:r>
      <w:r w:rsidR="002972CB" w:rsidRPr="005F6787">
        <w:rPr>
          <w:rFonts w:cs="Times New Roman"/>
          <w:szCs w:val="21"/>
        </w:rPr>
        <w:t>12</w:t>
      </w:r>
      <w:r w:rsidR="002972CB" w:rsidRPr="005F6787">
        <w:rPr>
          <w:rFonts w:cs="Times New Roman"/>
          <w:szCs w:val="21"/>
        </w:rPr>
        <w:t>か月以内に，対応策を策定すること、</w:t>
      </w:r>
      <w:r w:rsidR="002972CB" w:rsidRPr="005F6787">
        <w:rPr>
          <w:rFonts w:cs="Times New Roman"/>
          <w:szCs w:val="21"/>
        </w:rPr>
        <w:t>4</w:t>
      </w:r>
      <w:r w:rsidR="002972CB" w:rsidRPr="005F6787">
        <w:rPr>
          <w:rFonts w:cs="Times New Roman"/>
          <w:szCs w:val="21"/>
        </w:rPr>
        <w:t>ヵ月以内に変更計画を詳細に定めた実施計画を提示すること等が命じられた（ただし、取消訴訟の提起によって執行停止されている）。</w:t>
      </w:r>
    </w:p>
    <w:p w14:paraId="03A35B2C" w14:textId="77777777" w:rsidR="002972CB" w:rsidRPr="005F6787" w:rsidRDefault="002972CB" w:rsidP="006C657E">
      <w:pPr>
        <w:rPr>
          <w:szCs w:val="21"/>
        </w:rPr>
      </w:pPr>
      <w:r w:rsidRPr="005F6787">
        <w:rPr>
          <w:szCs w:val="21"/>
        </w:rPr>
        <w:t xml:space="preserve">　なお、本決定では過料（</w:t>
      </w:r>
      <w:r w:rsidRPr="005F6787">
        <w:rPr>
          <w:szCs w:val="21"/>
        </w:rPr>
        <w:t>Bußgeld</w:t>
      </w:r>
      <w:r w:rsidRPr="005F6787">
        <w:rPr>
          <w:szCs w:val="21"/>
        </w:rPr>
        <w:t>）は科されていない。この点につき、</w:t>
      </w:r>
      <w:r w:rsidR="00AD0958" w:rsidRPr="005F6787">
        <w:rPr>
          <w:szCs w:val="21"/>
        </w:rPr>
        <w:t>連邦</w:t>
      </w:r>
      <w:r w:rsidRPr="005F6787">
        <w:rPr>
          <w:szCs w:val="21"/>
        </w:rPr>
        <w:t>カルテル庁が公表した</w:t>
      </w:r>
      <w:r w:rsidRPr="005F6787">
        <w:rPr>
          <w:szCs w:val="21"/>
        </w:rPr>
        <w:t>Q&amp;A</w:t>
      </w:r>
      <w:r w:rsidR="00AD0958" w:rsidRPr="005F6787">
        <w:rPr>
          <w:szCs w:val="21"/>
        </w:rPr>
        <w:t>文書</w:t>
      </w:r>
      <w:r w:rsidRPr="005F6787">
        <w:rPr>
          <w:szCs w:val="21"/>
        </w:rPr>
        <w:t>では、次のように説明されている。</w:t>
      </w:r>
    </w:p>
    <w:p w14:paraId="2CED5BA9" w14:textId="77777777" w:rsidR="002972CB" w:rsidRPr="005F6787" w:rsidRDefault="002972CB" w:rsidP="0052032D">
      <w:pPr>
        <w:widowControl/>
        <w:shd w:val="clear" w:color="auto" w:fill="FFFFFF"/>
        <w:ind w:firstLine="210"/>
        <w:jc w:val="left"/>
        <w:rPr>
          <w:rFonts w:cs="Arial"/>
          <w:kern w:val="0"/>
          <w:szCs w:val="21"/>
        </w:rPr>
      </w:pPr>
      <w:r w:rsidRPr="005F6787">
        <w:rPr>
          <w:rFonts w:cs="Arial"/>
          <w:kern w:val="0"/>
          <w:szCs w:val="21"/>
        </w:rPr>
        <w:t>「連邦カルテル庁は、濫用規制手続を度々、過料手続ではなく、いわゆる行政手続で実施している。競争事業者と消費者の利益になるように、市場支配的事業者が今後の行動の変化を変えるように義務付けることを優先するからである。</w:t>
      </w:r>
    </w:p>
    <w:p w14:paraId="28E23079" w14:textId="77777777" w:rsidR="002972CB" w:rsidRPr="005F6787" w:rsidRDefault="002972CB" w:rsidP="0052032D">
      <w:pPr>
        <w:widowControl/>
        <w:shd w:val="clear" w:color="auto" w:fill="FFFFFF"/>
        <w:ind w:firstLine="210"/>
        <w:jc w:val="left"/>
        <w:rPr>
          <w:rFonts w:cs="Arial"/>
          <w:kern w:val="0"/>
          <w:szCs w:val="21"/>
        </w:rPr>
      </w:pPr>
      <w:r w:rsidRPr="005F6787">
        <w:rPr>
          <w:rFonts w:cs="Arial"/>
          <w:kern w:val="0"/>
          <w:szCs w:val="21"/>
        </w:rPr>
        <w:t>違反行為に事後的に過料を科すことは、措置の追加として可能であるが、それでは多くの場合に事案の本質を突くことにはならない。法的にも経済的にも一連の問題を提起することとなる複雑な事実関係を取り扱う場合であるからこそ、行政手続が適切な手続となる。しかしながら、特に再犯事案や大きな損害が見込まれる事案に対しては、過料手続の執行を決して除外するものではない</w:t>
      </w:r>
      <w:r w:rsidRPr="005F6787">
        <w:rPr>
          <w:rFonts w:cs="Arial"/>
          <w:szCs w:val="21"/>
        </w:rPr>
        <w:t>」</w:t>
      </w:r>
      <w:r w:rsidRPr="005F6787">
        <w:rPr>
          <w:rFonts w:cs="Arial"/>
          <w:kern w:val="0"/>
          <w:szCs w:val="21"/>
        </w:rPr>
        <w:t>。</w:t>
      </w:r>
    </w:p>
    <w:p w14:paraId="086A4FC7" w14:textId="77777777" w:rsidR="002972CB" w:rsidRPr="005F6787" w:rsidRDefault="002972CB" w:rsidP="006C657E">
      <w:pPr>
        <w:ind w:firstLineChars="100" w:firstLine="210"/>
        <w:rPr>
          <w:szCs w:val="21"/>
        </w:rPr>
      </w:pPr>
      <w:r w:rsidRPr="005F6787">
        <w:rPr>
          <w:szCs w:val="21"/>
        </w:rPr>
        <w:t>これまでのカルテル庁の行政実務としても、</w:t>
      </w:r>
      <w:r w:rsidRPr="005F6787">
        <w:rPr>
          <w:szCs w:val="21"/>
        </w:rPr>
        <w:t>GWB19</w:t>
      </w:r>
      <w:r w:rsidRPr="005F6787">
        <w:rPr>
          <w:szCs w:val="21"/>
        </w:rPr>
        <w:t>条</w:t>
      </w:r>
      <w:r w:rsidRPr="005F6787">
        <w:rPr>
          <w:szCs w:val="21"/>
        </w:rPr>
        <w:t>1</w:t>
      </w:r>
      <w:r w:rsidRPr="005F6787">
        <w:rPr>
          <w:szCs w:val="21"/>
        </w:rPr>
        <w:t>項の一般的な濫用禁止に当たるとした場合、通常は、過料（</w:t>
      </w:r>
      <w:r w:rsidRPr="005F6787">
        <w:rPr>
          <w:szCs w:val="21"/>
        </w:rPr>
        <w:t xml:space="preserve">Bußgeld </w:t>
      </w:r>
      <w:r w:rsidRPr="005F6787">
        <w:rPr>
          <w:szCs w:val="21"/>
        </w:rPr>
        <w:t>）を科さない。</w:t>
      </w:r>
      <w:r w:rsidRPr="005F6787">
        <w:rPr>
          <w:rStyle w:val="ad"/>
          <w:szCs w:val="21"/>
        </w:rPr>
        <w:footnoteReference w:id="5"/>
      </w:r>
      <w:r w:rsidRPr="005F6787">
        <w:rPr>
          <w:szCs w:val="21"/>
        </w:rPr>
        <w:t xml:space="preserve">　</w:t>
      </w:r>
      <w:r w:rsidR="000B4978" w:rsidRPr="005F6787">
        <w:rPr>
          <w:szCs w:val="21"/>
        </w:rPr>
        <w:t>その</w:t>
      </w:r>
      <w:r w:rsidRPr="005F6787">
        <w:rPr>
          <w:szCs w:val="21"/>
        </w:rPr>
        <w:t>理由は、上記の</w:t>
      </w:r>
      <w:r w:rsidRPr="005F6787">
        <w:rPr>
          <w:szCs w:val="21"/>
        </w:rPr>
        <w:t>Q&amp;A</w:t>
      </w:r>
      <w:r w:rsidR="00AD0958" w:rsidRPr="005F6787">
        <w:rPr>
          <w:szCs w:val="21"/>
        </w:rPr>
        <w:t>文書</w:t>
      </w:r>
      <w:r w:rsidRPr="005F6787">
        <w:rPr>
          <w:szCs w:val="21"/>
        </w:rPr>
        <w:t>にあるとおりであり、賢明な制度と行政実務であると思われる。</w:t>
      </w:r>
    </w:p>
    <w:p w14:paraId="71833325" w14:textId="77777777" w:rsidR="002972CB" w:rsidRPr="005F6787" w:rsidRDefault="002972CB" w:rsidP="002711B8">
      <w:pPr>
        <w:ind w:firstLineChars="100" w:firstLine="210"/>
        <w:rPr>
          <w:szCs w:val="21"/>
        </w:rPr>
      </w:pPr>
    </w:p>
    <w:p w14:paraId="514E18F0" w14:textId="77777777" w:rsidR="002972CB" w:rsidRPr="005F6787" w:rsidRDefault="00BA66A0" w:rsidP="00534BF5">
      <w:pPr>
        <w:pStyle w:val="1"/>
        <w:rPr>
          <w:rFonts w:asciiTheme="minorHAnsi" w:eastAsiaTheme="minorEastAsia" w:hAnsiTheme="minorHAnsi"/>
          <w:b/>
          <w:sz w:val="21"/>
          <w:szCs w:val="21"/>
        </w:rPr>
      </w:pPr>
      <w:r w:rsidRPr="005F6787">
        <w:rPr>
          <w:rFonts w:asciiTheme="minorHAnsi" w:eastAsiaTheme="minorEastAsia" w:hAnsiTheme="minorHAnsi"/>
          <w:b/>
          <w:sz w:val="21"/>
          <w:szCs w:val="21"/>
        </w:rPr>
        <w:t xml:space="preserve">2. </w:t>
      </w:r>
      <w:r w:rsidR="002972CB" w:rsidRPr="005F6787">
        <w:rPr>
          <w:rFonts w:asciiTheme="minorHAnsi" w:eastAsiaTheme="minorEastAsia" w:hAnsiTheme="minorHAnsi"/>
          <w:b/>
          <w:sz w:val="21"/>
          <w:szCs w:val="21"/>
        </w:rPr>
        <w:t>無料市場</w:t>
      </w:r>
    </w:p>
    <w:p w14:paraId="3C1F8AD3" w14:textId="77777777" w:rsidR="002972CB" w:rsidRPr="005F6787" w:rsidRDefault="00BA66A0" w:rsidP="00A2447B">
      <w:pPr>
        <w:autoSpaceDE w:val="0"/>
        <w:autoSpaceDN w:val="0"/>
        <w:adjustRightInd w:val="0"/>
        <w:jc w:val="left"/>
        <w:rPr>
          <w:szCs w:val="21"/>
        </w:rPr>
      </w:pPr>
      <w:r w:rsidRPr="005F6787">
        <w:rPr>
          <w:szCs w:val="21"/>
        </w:rPr>
        <w:t>(1</w:t>
      </w:r>
      <w:r w:rsidR="002972CB" w:rsidRPr="005F6787">
        <w:rPr>
          <w:szCs w:val="21"/>
        </w:rPr>
        <w:t xml:space="preserve">) </w:t>
      </w:r>
      <w:r w:rsidR="002972CB" w:rsidRPr="005F6787">
        <w:rPr>
          <w:szCs w:val="21"/>
        </w:rPr>
        <w:t>本決定は、</w:t>
      </w:r>
      <w:r w:rsidR="002972CB" w:rsidRPr="005F6787">
        <w:rPr>
          <w:rFonts w:cs="ＭＳ 明朝"/>
          <w:kern w:val="0"/>
          <w:szCs w:val="21"/>
        </w:rPr>
        <w:t>個人ユーザーに対する</w:t>
      </w:r>
      <w:r w:rsidR="002972CB" w:rsidRPr="005F6787">
        <w:rPr>
          <w:szCs w:val="21"/>
        </w:rPr>
        <w:t>ソーシャルネットワークサービス（以下、</w:t>
      </w:r>
      <w:r w:rsidR="002972CB" w:rsidRPr="005F6787">
        <w:rPr>
          <w:szCs w:val="21"/>
        </w:rPr>
        <w:t>SNS</w:t>
      </w:r>
      <w:r w:rsidR="002972CB" w:rsidRPr="005F6787">
        <w:rPr>
          <w:szCs w:val="21"/>
        </w:rPr>
        <w:t>と略記））という「無料」サーヒス市場を画定し、そこにおいて</w:t>
      </w:r>
      <w:r w:rsidR="002972CB" w:rsidRPr="005F6787">
        <w:rPr>
          <w:szCs w:val="21"/>
        </w:rPr>
        <w:t>FB</w:t>
      </w:r>
      <w:r w:rsidR="002972CB" w:rsidRPr="005F6787">
        <w:rPr>
          <w:szCs w:val="21"/>
        </w:rPr>
        <w:t>の市場支配的地位を認定した。</w:t>
      </w:r>
    </w:p>
    <w:p w14:paraId="211DA01D" w14:textId="77777777" w:rsidR="002972CB" w:rsidRPr="005F6787" w:rsidRDefault="002972CB" w:rsidP="002711B8">
      <w:pPr>
        <w:ind w:firstLineChars="100" w:firstLine="210"/>
        <w:rPr>
          <w:szCs w:val="21"/>
        </w:rPr>
      </w:pPr>
      <w:r w:rsidRPr="005F6787">
        <w:rPr>
          <w:szCs w:val="21"/>
        </w:rPr>
        <w:lastRenderedPageBreak/>
        <w:t>「個人ユーザーは</w:t>
      </w:r>
      <w:r w:rsidRPr="005F6787">
        <w:rPr>
          <w:szCs w:val="21"/>
        </w:rPr>
        <w:t>SNS</w:t>
      </w:r>
      <w:r w:rsidRPr="005F6787">
        <w:rPr>
          <w:szCs w:val="21"/>
        </w:rPr>
        <w:t>の利用にあたって金銭的対価を支払わないが、</w:t>
      </w:r>
      <w:r w:rsidRPr="005F6787">
        <w:rPr>
          <w:szCs w:val="21"/>
        </w:rPr>
        <w:t>SNS</w:t>
      </w:r>
      <w:r w:rsidRPr="005F6787">
        <w:rPr>
          <w:szCs w:val="21"/>
        </w:rPr>
        <w:t>の無料の提供は、市場成果（または「市場業績」＝</w:t>
      </w:r>
      <w:r w:rsidRPr="005F6787">
        <w:rPr>
          <w:szCs w:val="21"/>
        </w:rPr>
        <w:t>Marktleistung</w:t>
      </w:r>
      <w:r w:rsidRPr="005F6787">
        <w:rPr>
          <w:szCs w:val="21"/>
        </w:rPr>
        <w:t>）として捉えられる。有料の広告取引を考慮すれば、</w:t>
      </w:r>
      <w:r w:rsidRPr="005F6787">
        <w:rPr>
          <w:szCs w:val="21"/>
        </w:rPr>
        <w:t xml:space="preserve">SNS </w:t>
      </w:r>
      <w:r w:rsidRPr="005F6787">
        <w:rPr>
          <w:szCs w:val="21"/>
        </w:rPr>
        <w:t>の提供は、</w:t>
      </w:r>
      <w:r w:rsidRPr="005F6787">
        <w:rPr>
          <w:szCs w:val="21"/>
        </w:rPr>
        <w:t xml:space="preserve">GWB18 </w:t>
      </w:r>
      <w:r w:rsidRPr="005F6787">
        <w:rPr>
          <w:szCs w:val="21"/>
        </w:rPr>
        <w:t>条</w:t>
      </w:r>
      <w:r w:rsidRPr="005F6787">
        <w:rPr>
          <w:szCs w:val="21"/>
        </w:rPr>
        <w:t xml:space="preserve"> 2a </w:t>
      </w:r>
      <w:r w:rsidRPr="005F6787">
        <w:rPr>
          <w:szCs w:val="21"/>
        </w:rPr>
        <w:t>項の要件を満たす」</w:t>
      </w:r>
      <w:r w:rsidRPr="005F6787">
        <w:rPr>
          <w:szCs w:val="21"/>
        </w:rPr>
        <w:t>(Rn.239)</w:t>
      </w:r>
      <w:r w:rsidRPr="005F6787">
        <w:rPr>
          <w:szCs w:val="21"/>
        </w:rPr>
        <w:t>。</w:t>
      </w:r>
    </w:p>
    <w:p w14:paraId="08943BC0" w14:textId="77777777" w:rsidR="002972CB" w:rsidRPr="005F6787" w:rsidRDefault="002972CB" w:rsidP="002711B8">
      <w:pPr>
        <w:ind w:firstLineChars="100" w:firstLine="210"/>
        <w:rPr>
          <w:szCs w:val="21"/>
        </w:rPr>
      </w:pPr>
      <w:r w:rsidRPr="005F6787">
        <w:rPr>
          <w:szCs w:val="21"/>
        </w:rPr>
        <w:t xml:space="preserve">GWB18 </w:t>
      </w:r>
      <w:r w:rsidRPr="005F6787">
        <w:rPr>
          <w:szCs w:val="21"/>
        </w:rPr>
        <w:t>条</w:t>
      </w:r>
      <w:r w:rsidRPr="005F6787">
        <w:rPr>
          <w:szCs w:val="21"/>
        </w:rPr>
        <w:t xml:space="preserve"> 2a </w:t>
      </w:r>
      <w:r w:rsidRPr="005F6787">
        <w:rPr>
          <w:szCs w:val="21"/>
        </w:rPr>
        <w:t>項は、「役務が無料で供給されるということは、市場として画定されることを妨げない」、と定める。これは、まさに</w:t>
      </w:r>
      <w:r w:rsidRPr="005F6787">
        <w:rPr>
          <w:szCs w:val="21"/>
        </w:rPr>
        <w:t>FB</w:t>
      </w:r>
      <w:r w:rsidRPr="005F6787">
        <w:rPr>
          <w:szCs w:val="21"/>
        </w:rPr>
        <w:t>のようなサービス形態を想定して明文化したものであり、同法第</w:t>
      </w:r>
      <w:r w:rsidRPr="005F6787">
        <w:rPr>
          <w:szCs w:val="21"/>
        </w:rPr>
        <w:t>9</w:t>
      </w:r>
      <w:r w:rsidRPr="005F6787">
        <w:rPr>
          <w:szCs w:val="21"/>
        </w:rPr>
        <w:t>次改正（</w:t>
      </w:r>
      <w:r w:rsidRPr="005F6787">
        <w:rPr>
          <w:szCs w:val="21"/>
        </w:rPr>
        <w:t>2017</w:t>
      </w:r>
      <w:r w:rsidRPr="005F6787">
        <w:rPr>
          <w:szCs w:val="21"/>
        </w:rPr>
        <w:t>年施行）で新設されたものである</w:t>
      </w:r>
      <w:r w:rsidRPr="005F6787">
        <w:rPr>
          <w:rStyle w:val="ad"/>
          <w:szCs w:val="21"/>
        </w:rPr>
        <w:footnoteReference w:id="6"/>
      </w:r>
      <w:r w:rsidRPr="005F6787">
        <w:rPr>
          <w:szCs w:val="21"/>
        </w:rPr>
        <w:t>。</w:t>
      </w:r>
    </w:p>
    <w:p w14:paraId="39C4E59B" w14:textId="77777777" w:rsidR="002972CB" w:rsidRPr="005F6787" w:rsidRDefault="002972CB" w:rsidP="009F2894">
      <w:pPr>
        <w:ind w:firstLineChars="100" w:firstLine="210"/>
        <w:rPr>
          <w:rFonts w:cs="Times New Roman"/>
          <w:szCs w:val="21"/>
        </w:rPr>
      </w:pPr>
      <w:r w:rsidRPr="005F6787">
        <w:rPr>
          <w:szCs w:val="21"/>
        </w:rPr>
        <w:t>「</w:t>
      </w:r>
      <w:r w:rsidRPr="005F6787">
        <w:rPr>
          <w:rFonts w:cs="Times New Roman"/>
          <w:szCs w:val="21"/>
        </w:rPr>
        <w:t>従来の判例では，金銭的な売上（</w:t>
      </w:r>
      <w:r w:rsidRPr="005F6787">
        <w:rPr>
          <w:rFonts w:cs="Arial"/>
          <w:kern w:val="0"/>
          <w:szCs w:val="21"/>
        </w:rPr>
        <w:t>monetäre Umsatz</w:t>
      </w:r>
      <w:r w:rsidRPr="005F6787">
        <w:rPr>
          <w:rFonts w:cs="Arial"/>
          <w:kern w:val="0"/>
          <w:szCs w:val="21"/>
        </w:rPr>
        <w:t>）</w:t>
      </w:r>
      <w:r w:rsidRPr="005F6787">
        <w:rPr>
          <w:rFonts w:cs="Times New Roman"/>
          <w:szCs w:val="21"/>
        </w:rPr>
        <w:t>とその基礎にある価格設定（</w:t>
      </w:r>
      <w:r w:rsidRPr="005F6787">
        <w:rPr>
          <w:rFonts w:cs="Arial"/>
          <w:kern w:val="0"/>
          <w:szCs w:val="21"/>
        </w:rPr>
        <w:t>Preissetzung</w:t>
      </w:r>
      <w:r w:rsidRPr="005F6787">
        <w:rPr>
          <w:rFonts w:cs="Arial"/>
          <w:kern w:val="0"/>
          <w:szCs w:val="21"/>
        </w:rPr>
        <w:t>）</w:t>
      </w:r>
      <w:r w:rsidRPr="005F6787">
        <w:rPr>
          <w:rFonts w:cs="Times New Roman"/>
          <w:szCs w:val="21"/>
        </w:rPr>
        <w:t>が本質的な競争パラメーターであり市場関係の不可欠な構成要素であると考えられていたため，無料の利用関係は一般的には市場として捉えられなかった」。「立法者は，</w:t>
      </w:r>
      <w:r w:rsidRPr="005F6787">
        <w:rPr>
          <w:rFonts w:cs="Times New Roman"/>
          <w:szCs w:val="21"/>
        </w:rPr>
        <w:t>18</w:t>
      </w:r>
      <w:r w:rsidRPr="005F6787">
        <w:rPr>
          <w:rFonts w:cs="Times New Roman"/>
          <w:szCs w:val="21"/>
        </w:rPr>
        <w:t>条</w:t>
      </w:r>
      <w:r w:rsidRPr="005F6787">
        <w:rPr>
          <w:rFonts w:cs="Times New Roman"/>
          <w:szCs w:val="21"/>
        </w:rPr>
        <w:t>2a</w:t>
      </w:r>
      <w:r w:rsidRPr="005F6787">
        <w:rPr>
          <w:rFonts w:cs="Times New Roman"/>
          <w:szCs w:val="21"/>
        </w:rPr>
        <w:t>項の導入により，原則として、無料の提供（</w:t>
      </w:r>
      <w:r w:rsidRPr="005F6787">
        <w:rPr>
          <w:rFonts w:cs="Arial"/>
          <w:kern w:val="0"/>
          <w:szCs w:val="21"/>
        </w:rPr>
        <w:t>Leistungen</w:t>
      </w:r>
      <w:r w:rsidRPr="005F6787">
        <w:rPr>
          <w:rFonts w:cs="Arial"/>
          <w:kern w:val="0"/>
          <w:szCs w:val="21"/>
        </w:rPr>
        <w:t>）</w:t>
      </w:r>
      <w:r w:rsidR="00E2485E" w:rsidRPr="005F6787">
        <w:rPr>
          <w:rFonts w:cs="Times New Roman"/>
          <w:szCs w:val="21"/>
        </w:rPr>
        <w:t>であっても、市場業績</w:t>
      </w:r>
      <w:r w:rsidRPr="005F6787">
        <w:rPr>
          <w:rFonts w:cs="Times New Roman"/>
          <w:szCs w:val="21"/>
        </w:rPr>
        <w:t>（</w:t>
      </w:r>
      <w:r w:rsidRPr="005F6787">
        <w:rPr>
          <w:rFonts w:cs="Arial"/>
          <w:kern w:val="0"/>
          <w:szCs w:val="21"/>
        </w:rPr>
        <w:t>Marktleistung</w:t>
      </w:r>
      <w:r w:rsidRPr="005F6787">
        <w:rPr>
          <w:rFonts w:cs="Arial"/>
          <w:kern w:val="0"/>
          <w:szCs w:val="21"/>
        </w:rPr>
        <w:t>）</w:t>
      </w:r>
      <w:r w:rsidRPr="005F6787">
        <w:rPr>
          <w:rFonts w:cs="Times New Roman"/>
          <w:szCs w:val="21"/>
        </w:rPr>
        <w:t>として位置付けられる可能性を開いた。ただし、そのための諸条件は決められないままになっている」（</w:t>
      </w:r>
      <w:r w:rsidRPr="005F6787">
        <w:rPr>
          <w:rFonts w:cs="Times New Roman"/>
          <w:szCs w:val="21"/>
        </w:rPr>
        <w:t>Rn.240</w:t>
      </w:r>
      <w:r w:rsidRPr="005F6787">
        <w:rPr>
          <w:rFonts w:cs="Times New Roman"/>
          <w:szCs w:val="21"/>
        </w:rPr>
        <w:t>）。</w:t>
      </w:r>
    </w:p>
    <w:p w14:paraId="51A92F45" w14:textId="77777777" w:rsidR="002972CB" w:rsidRPr="005F6787" w:rsidRDefault="002972CB" w:rsidP="009F2894">
      <w:pPr>
        <w:ind w:firstLineChars="100" w:firstLine="210"/>
        <w:rPr>
          <w:rFonts w:cs="Times New Roman"/>
          <w:szCs w:val="21"/>
        </w:rPr>
      </w:pPr>
      <w:r w:rsidRPr="005F6787">
        <w:rPr>
          <w:rFonts w:cs="Times New Roman"/>
          <w:szCs w:val="21"/>
        </w:rPr>
        <w:t>この最後の部分にあるように、無料の提供が市場サービスとされるための諸条件は、規定上明らかにされていず、実際の解釈・運用に委ねられている</w:t>
      </w:r>
      <w:r w:rsidR="00E2485E" w:rsidRPr="005F6787">
        <w:rPr>
          <w:rFonts w:cs="Times New Roman"/>
          <w:szCs w:val="21"/>
        </w:rPr>
        <w:t>が、この</w:t>
      </w:r>
      <w:r w:rsidRPr="005F6787">
        <w:rPr>
          <w:rFonts w:cs="Times New Roman"/>
          <w:szCs w:val="21"/>
        </w:rPr>
        <w:t>点について、本決定は、有料の広告市場との密接な関連を指摘する。</w:t>
      </w:r>
    </w:p>
    <w:p w14:paraId="62873A3D" w14:textId="77777777" w:rsidR="002972CB" w:rsidRPr="005F6787" w:rsidRDefault="002972CB" w:rsidP="00C546D6">
      <w:pPr>
        <w:ind w:firstLineChars="100" w:firstLine="210"/>
        <w:rPr>
          <w:rFonts w:cs="Times New Roman"/>
          <w:szCs w:val="21"/>
        </w:rPr>
      </w:pPr>
      <w:r w:rsidRPr="005F6787">
        <w:rPr>
          <w:rFonts w:cs="Times New Roman"/>
          <w:szCs w:val="21"/>
        </w:rPr>
        <w:t>「カルテル庁の見解によれば，多面的市場の扱いとして，プラットフォームから反対給付として金銭が要求されないユーザーサイドにつき，それと支払いが義務付けられる</w:t>
      </w:r>
      <w:r w:rsidRPr="005F6787">
        <w:rPr>
          <w:rFonts w:cs="Times New Roman"/>
          <w:szCs w:val="21"/>
        </w:rPr>
        <w:t>(</w:t>
      </w:r>
      <w:r w:rsidRPr="005F6787">
        <w:rPr>
          <w:rFonts w:cs="Times New Roman"/>
          <w:szCs w:val="21"/>
        </w:rPr>
        <w:t>広告</w:t>
      </w:r>
      <w:r w:rsidRPr="005F6787">
        <w:rPr>
          <w:rFonts w:cs="Times New Roman"/>
          <w:szCs w:val="21"/>
        </w:rPr>
        <w:t>)</w:t>
      </w:r>
      <w:r w:rsidRPr="005F6787">
        <w:rPr>
          <w:rFonts w:cs="Times New Roman"/>
          <w:szCs w:val="21"/>
        </w:rPr>
        <w:t>サイドと結びついている限り，</w:t>
      </w:r>
      <w:r w:rsidRPr="005F6787">
        <w:rPr>
          <w:rFonts w:cs="Times New Roman"/>
          <w:szCs w:val="21"/>
        </w:rPr>
        <w:t>GWB</w:t>
      </w:r>
      <w:r w:rsidRPr="005F6787">
        <w:rPr>
          <w:rFonts w:cs="Times New Roman"/>
          <w:szCs w:val="21"/>
        </w:rPr>
        <w:t>上の市場として捉えることは、経済的に、またカルテル法上、十分意味があることである。ここで決定的なことは，広告サイド（</w:t>
      </w:r>
      <w:r w:rsidRPr="005F6787">
        <w:rPr>
          <w:rFonts w:cs="ArialMT"/>
          <w:kern w:val="0"/>
          <w:szCs w:val="21"/>
        </w:rPr>
        <w:t>Werbeseite</w:t>
      </w:r>
      <w:r w:rsidRPr="005F6787">
        <w:rPr>
          <w:rFonts w:cs="ArialMT"/>
          <w:kern w:val="0"/>
          <w:szCs w:val="21"/>
        </w:rPr>
        <w:t>）</w:t>
      </w:r>
      <w:r w:rsidRPr="005F6787">
        <w:rPr>
          <w:rFonts w:cs="Times New Roman"/>
          <w:szCs w:val="21"/>
        </w:rPr>
        <w:t>と『注目サイド』（</w:t>
      </w:r>
      <w:r w:rsidRPr="005F6787">
        <w:rPr>
          <w:rFonts w:cs="ＭＳ 明朝"/>
          <w:kern w:val="0"/>
          <w:szCs w:val="21"/>
        </w:rPr>
        <w:t>„</w:t>
      </w:r>
      <w:r w:rsidRPr="005F6787">
        <w:rPr>
          <w:rFonts w:cs="ArialMT"/>
          <w:kern w:val="0"/>
          <w:szCs w:val="21"/>
        </w:rPr>
        <w:t xml:space="preserve">Aufmerksamkeitsseite“. </w:t>
      </w:r>
      <w:r w:rsidRPr="005F6787">
        <w:rPr>
          <w:rFonts w:cs="Times New Roman"/>
          <w:szCs w:val="21"/>
        </w:rPr>
        <w:t>SNS</w:t>
      </w:r>
      <w:r w:rsidRPr="005F6787">
        <w:rPr>
          <w:rFonts w:cs="Times New Roman"/>
          <w:szCs w:val="21"/>
        </w:rPr>
        <w:t>サービス市場を指す）の両プラットフォームの活動の間に，密接な関係が存在し、活動について統一的な事業目的が認められる、ということである」（</w:t>
      </w:r>
      <w:r w:rsidRPr="005F6787">
        <w:rPr>
          <w:rFonts w:cs="Times New Roman"/>
          <w:szCs w:val="21"/>
        </w:rPr>
        <w:t>Rn.241</w:t>
      </w:r>
      <w:r w:rsidRPr="005F6787">
        <w:rPr>
          <w:rFonts w:cs="Times New Roman"/>
          <w:szCs w:val="21"/>
        </w:rPr>
        <w:t>）。</w:t>
      </w:r>
    </w:p>
    <w:p w14:paraId="78D21DA2" w14:textId="77777777" w:rsidR="002972CB" w:rsidRPr="005F6787" w:rsidRDefault="002972CB" w:rsidP="00F511BD">
      <w:pPr>
        <w:ind w:firstLineChars="100" w:firstLine="210"/>
        <w:rPr>
          <w:rFonts w:cs="Times New Roman"/>
          <w:szCs w:val="21"/>
        </w:rPr>
      </w:pPr>
      <w:r w:rsidRPr="005F6787">
        <w:rPr>
          <w:rFonts w:cs="Times New Roman"/>
          <w:szCs w:val="21"/>
        </w:rPr>
        <w:t>本決定は、無料サービスに係る市場について</w:t>
      </w:r>
      <w:r w:rsidR="00910095" w:rsidRPr="005F6787">
        <w:rPr>
          <w:rFonts w:cs="Times New Roman"/>
          <w:szCs w:val="21"/>
        </w:rPr>
        <w:t>競争制限禁止法</w:t>
      </w:r>
      <w:r w:rsidRPr="005F6787">
        <w:rPr>
          <w:rFonts w:cs="Times New Roman"/>
          <w:szCs w:val="21"/>
        </w:rPr>
        <w:t>を適用すべきであるという上の立場は、</w:t>
      </w:r>
      <w:r w:rsidRPr="005F6787">
        <w:rPr>
          <w:rFonts w:cs="Times New Roman"/>
          <w:szCs w:val="21"/>
        </w:rPr>
        <w:t>EU</w:t>
      </w:r>
      <w:r w:rsidRPr="005F6787">
        <w:rPr>
          <w:rFonts w:cs="Times New Roman"/>
          <w:szCs w:val="21"/>
        </w:rPr>
        <w:t>競争法の実際の運用取引にも一致するとして、次の諸事件を挙げている。</w:t>
      </w:r>
    </w:p>
    <w:p w14:paraId="2FC7CA23" w14:textId="77777777" w:rsidR="002972CB" w:rsidRPr="005F6787" w:rsidRDefault="002972CB" w:rsidP="00F511BD">
      <w:pPr>
        <w:ind w:firstLineChars="100" w:firstLine="210"/>
        <w:rPr>
          <w:rFonts w:cs="Times New Roman"/>
          <w:szCs w:val="21"/>
        </w:rPr>
      </w:pPr>
      <w:r w:rsidRPr="005F6787">
        <w:rPr>
          <w:rFonts w:cs="Arial"/>
          <w:iCs/>
          <w:kern w:val="0"/>
          <w:szCs w:val="21"/>
        </w:rPr>
        <w:t>Facebook/WhatsApp</w:t>
      </w:r>
      <w:r w:rsidRPr="005F6787">
        <w:rPr>
          <w:rFonts w:cs="Arial"/>
          <w:iCs/>
          <w:kern w:val="0"/>
          <w:szCs w:val="21"/>
        </w:rPr>
        <w:t>事件＝</w:t>
      </w:r>
      <w:r w:rsidRPr="005F6787">
        <w:rPr>
          <w:rFonts w:cs="Times New Roman"/>
          <w:szCs w:val="21"/>
        </w:rPr>
        <w:t>EU</w:t>
      </w:r>
      <w:r w:rsidRPr="005F6787">
        <w:rPr>
          <w:rFonts w:cs="Times New Roman"/>
          <w:szCs w:val="21"/>
        </w:rPr>
        <w:t>委決定（</w:t>
      </w:r>
      <w:r w:rsidRPr="005F6787">
        <w:rPr>
          <w:rFonts w:cs="Times New Roman"/>
          <w:szCs w:val="21"/>
        </w:rPr>
        <w:t>2014</w:t>
      </w:r>
      <w:r w:rsidRPr="005F6787">
        <w:rPr>
          <w:rFonts w:cs="Times New Roman"/>
          <w:szCs w:val="21"/>
        </w:rPr>
        <w:t>年</w:t>
      </w:r>
      <w:r w:rsidRPr="005F6787">
        <w:rPr>
          <w:rFonts w:cs="Times New Roman"/>
          <w:szCs w:val="21"/>
        </w:rPr>
        <w:t>10</w:t>
      </w:r>
      <w:r w:rsidRPr="005F6787">
        <w:rPr>
          <w:rFonts w:cs="Times New Roman"/>
          <w:szCs w:val="21"/>
        </w:rPr>
        <w:t>月</w:t>
      </w:r>
      <w:r w:rsidRPr="005F6787">
        <w:rPr>
          <w:rFonts w:cs="Times New Roman"/>
          <w:szCs w:val="21"/>
        </w:rPr>
        <w:t>3</w:t>
      </w:r>
      <w:r w:rsidRPr="005F6787">
        <w:rPr>
          <w:rFonts w:cs="Times New Roman"/>
          <w:szCs w:val="21"/>
        </w:rPr>
        <w:t>日）</w:t>
      </w:r>
    </w:p>
    <w:p w14:paraId="1EA264FA" w14:textId="77777777" w:rsidR="002972CB" w:rsidRPr="005F6787" w:rsidRDefault="002972CB" w:rsidP="003F0BE9">
      <w:pPr>
        <w:ind w:firstLineChars="100" w:firstLine="210"/>
        <w:rPr>
          <w:rFonts w:cs="Arial"/>
          <w:iCs/>
          <w:kern w:val="0"/>
          <w:szCs w:val="21"/>
        </w:rPr>
      </w:pPr>
      <w:r w:rsidRPr="005F6787">
        <w:rPr>
          <w:rFonts w:cs="Arial"/>
          <w:iCs/>
          <w:kern w:val="0"/>
          <w:szCs w:val="21"/>
        </w:rPr>
        <w:t>Microsoft/Skype</w:t>
      </w:r>
      <w:r w:rsidR="00E2485E" w:rsidRPr="005F6787">
        <w:rPr>
          <w:rFonts w:cs="Arial"/>
          <w:iCs/>
          <w:kern w:val="0"/>
          <w:szCs w:val="21"/>
        </w:rPr>
        <w:t>事件</w:t>
      </w:r>
      <w:r w:rsidRPr="005F6787">
        <w:rPr>
          <w:rFonts w:cs="Arial"/>
          <w:iCs/>
          <w:kern w:val="0"/>
          <w:szCs w:val="21"/>
        </w:rPr>
        <w:t>＝</w:t>
      </w:r>
      <w:r w:rsidRPr="005F6787">
        <w:rPr>
          <w:rFonts w:cs="Times New Roman"/>
          <w:szCs w:val="21"/>
        </w:rPr>
        <w:t>EU</w:t>
      </w:r>
      <w:r w:rsidRPr="005F6787">
        <w:rPr>
          <w:rFonts w:cs="Times New Roman"/>
          <w:szCs w:val="21"/>
        </w:rPr>
        <w:t>委決定</w:t>
      </w:r>
      <w:r w:rsidRPr="005F6787">
        <w:rPr>
          <w:rFonts w:cs="Arial"/>
          <w:iCs/>
          <w:kern w:val="0"/>
          <w:szCs w:val="21"/>
        </w:rPr>
        <w:t>(2011</w:t>
      </w:r>
      <w:r w:rsidRPr="005F6787">
        <w:rPr>
          <w:rFonts w:cs="Arial"/>
          <w:iCs/>
          <w:kern w:val="0"/>
          <w:szCs w:val="21"/>
        </w:rPr>
        <w:t>年</w:t>
      </w:r>
      <w:r w:rsidRPr="005F6787">
        <w:rPr>
          <w:rFonts w:cs="Arial"/>
          <w:iCs/>
          <w:kern w:val="0"/>
          <w:szCs w:val="21"/>
        </w:rPr>
        <w:t>10</w:t>
      </w:r>
      <w:r w:rsidRPr="005F6787">
        <w:rPr>
          <w:rFonts w:cs="Arial"/>
          <w:iCs/>
          <w:kern w:val="0"/>
          <w:szCs w:val="21"/>
        </w:rPr>
        <w:t>月</w:t>
      </w:r>
      <w:r w:rsidRPr="005F6787">
        <w:rPr>
          <w:rFonts w:cs="Arial"/>
          <w:iCs/>
          <w:kern w:val="0"/>
          <w:szCs w:val="21"/>
        </w:rPr>
        <w:t>7</w:t>
      </w:r>
      <w:r w:rsidRPr="005F6787">
        <w:rPr>
          <w:rFonts w:cs="Arial"/>
          <w:iCs/>
          <w:kern w:val="0"/>
          <w:szCs w:val="21"/>
        </w:rPr>
        <w:t>日</w:t>
      </w:r>
      <w:r w:rsidRPr="005F6787">
        <w:rPr>
          <w:rFonts w:cs="Arial"/>
          <w:iCs/>
          <w:kern w:val="0"/>
          <w:szCs w:val="21"/>
        </w:rPr>
        <w:t>)</w:t>
      </w:r>
    </w:p>
    <w:p w14:paraId="57089081" w14:textId="77777777" w:rsidR="002972CB" w:rsidRPr="005F6787" w:rsidRDefault="002972CB" w:rsidP="003F0BE9">
      <w:pPr>
        <w:ind w:firstLineChars="100" w:firstLine="210"/>
        <w:rPr>
          <w:rFonts w:cs="Times New Roman"/>
          <w:szCs w:val="21"/>
        </w:rPr>
      </w:pPr>
      <w:r w:rsidRPr="005F6787">
        <w:rPr>
          <w:rFonts w:cs="Arial"/>
          <w:iCs/>
          <w:kern w:val="0"/>
          <w:szCs w:val="21"/>
        </w:rPr>
        <w:t>Google</w:t>
      </w:r>
      <w:r w:rsidRPr="005F6787">
        <w:rPr>
          <w:rFonts w:cs="Arial"/>
          <w:iCs/>
          <w:kern w:val="0"/>
          <w:szCs w:val="21"/>
        </w:rPr>
        <w:t>事件＝</w:t>
      </w:r>
      <w:r w:rsidRPr="005F6787">
        <w:rPr>
          <w:rFonts w:cs="Times New Roman"/>
          <w:szCs w:val="21"/>
        </w:rPr>
        <w:t>EU</w:t>
      </w:r>
      <w:r w:rsidRPr="005F6787">
        <w:rPr>
          <w:rFonts w:cs="Times New Roman"/>
          <w:szCs w:val="21"/>
        </w:rPr>
        <w:t>委決定（</w:t>
      </w:r>
      <w:r w:rsidRPr="005F6787">
        <w:rPr>
          <w:rFonts w:cs="Times New Roman"/>
          <w:szCs w:val="21"/>
        </w:rPr>
        <w:t>2017</w:t>
      </w:r>
      <w:r w:rsidRPr="005F6787">
        <w:rPr>
          <w:rFonts w:cs="Times New Roman"/>
          <w:szCs w:val="21"/>
        </w:rPr>
        <w:t>年</w:t>
      </w:r>
      <w:r w:rsidRPr="005F6787">
        <w:rPr>
          <w:rFonts w:cs="Times New Roman"/>
          <w:szCs w:val="21"/>
        </w:rPr>
        <w:t>6</w:t>
      </w:r>
      <w:r w:rsidRPr="005F6787">
        <w:rPr>
          <w:rFonts w:cs="Times New Roman"/>
          <w:szCs w:val="21"/>
        </w:rPr>
        <w:t>月</w:t>
      </w:r>
      <w:r w:rsidRPr="005F6787">
        <w:rPr>
          <w:rFonts w:cs="Times New Roman"/>
          <w:szCs w:val="21"/>
        </w:rPr>
        <w:t>27</w:t>
      </w:r>
      <w:r w:rsidRPr="005F6787">
        <w:rPr>
          <w:rFonts w:cs="Times New Roman"/>
          <w:szCs w:val="21"/>
        </w:rPr>
        <w:t>日）</w:t>
      </w:r>
    </w:p>
    <w:p w14:paraId="7E9C7BDA" w14:textId="77777777" w:rsidR="002972CB" w:rsidRPr="005F6787" w:rsidRDefault="00E2485E" w:rsidP="003F0BE9">
      <w:pPr>
        <w:ind w:firstLineChars="100" w:firstLine="210"/>
        <w:rPr>
          <w:rFonts w:cs="Times New Roman"/>
          <w:szCs w:val="21"/>
        </w:rPr>
      </w:pPr>
      <w:r w:rsidRPr="005F6787">
        <w:rPr>
          <w:rFonts w:cs="Times New Roman"/>
          <w:szCs w:val="21"/>
        </w:rPr>
        <w:t>前</w:t>
      </w:r>
      <w:r w:rsidRPr="005F6787">
        <w:rPr>
          <w:rFonts w:cs="Times New Roman"/>
          <w:szCs w:val="21"/>
        </w:rPr>
        <w:t>2</w:t>
      </w:r>
      <w:r w:rsidRPr="005F6787">
        <w:rPr>
          <w:rFonts w:cs="Times New Roman"/>
          <w:szCs w:val="21"/>
        </w:rPr>
        <w:t>者は、企業結合の事案であり、</w:t>
      </w:r>
      <w:r w:rsidR="002972CB" w:rsidRPr="005F6787">
        <w:rPr>
          <w:rFonts w:cs="Times New Roman"/>
          <w:szCs w:val="21"/>
        </w:rPr>
        <w:t>最後に挙げたグーグルに対する委員会決定は，欧州における無料の一般検索市場において、</w:t>
      </w:r>
      <w:r w:rsidR="00BA66A0" w:rsidRPr="005F6787">
        <w:rPr>
          <w:rFonts w:cs="Times New Roman"/>
          <w:szCs w:val="21"/>
        </w:rPr>
        <w:t>グーグルが</w:t>
      </w:r>
      <w:r w:rsidR="002972CB" w:rsidRPr="005F6787">
        <w:rPr>
          <w:rFonts w:cs="Times New Roman"/>
          <w:szCs w:val="21"/>
        </w:rPr>
        <w:t>自己の価格比較サービスを不当に優遇することによって、市場支配的地位を濫用したと判断した</w:t>
      </w:r>
      <w:r w:rsidRPr="005F6787">
        <w:rPr>
          <w:rFonts w:cs="Times New Roman"/>
          <w:szCs w:val="21"/>
        </w:rPr>
        <w:t>ものである</w:t>
      </w:r>
      <w:r w:rsidR="002972CB" w:rsidRPr="005F6787">
        <w:rPr>
          <w:rStyle w:val="ad"/>
          <w:rFonts w:cs="Times New Roman"/>
          <w:szCs w:val="21"/>
        </w:rPr>
        <w:footnoteReference w:id="7"/>
      </w:r>
      <w:r w:rsidR="002972CB" w:rsidRPr="005F6787">
        <w:rPr>
          <w:rFonts w:cs="Times New Roman"/>
          <w:szCs w:val="21"/>
        </w:rPr>
        <w:t>。</w:t>
      </w:r>
    </w:p>
    <w:p w14:paraId="544855FA" w14:textId="77777777" w:rsidR="002972CB" w:rsidRPr="005F6787" w:rsidRDefault="002972CB" w:rsidP="00F511BD">
      <w:pPr>
        <w:ind w:firstLineChars="100" w:firstLine="210"/>
        <w:rPr>
          <w:rFonts w:cs="Times New Roman"/>
          <w:szCs w:val="21"/>
        </w:rPr>
      </w:pPr>
      <w:r w:rsidRPr="005F6787">
        <w:rPr>
          <w:rFonts w:cs="Times New Roman"/>
          <w:szCs w:val="21"/>
        </w:rPr>
        <w:t>これらをも踏まえると、「競争規制のハーモナイゼーションのために，従来のドイツ国内の法運用</w:t>
      </w:r>
      <w:r w:rsidRPr="005F6787">
        <w:rPr>
          <w:rFonts w:cs="Arial"/>
          <w:iCs/>
          <w:kern w:val="0"/>
          <w:szCs w:val="21"/>
        </w:rPr>
        <w:t>から離れることが必要である」</w:t>
      </w:r>
      <w:r w:rsidRPr="005F6787">
        <w:rPr>
          <w:rFonts w:cs="Times New Roman"/>
          <w:szCs w:val="21"/>
        </w:rPr>
        <w:t>（</w:t>
      </w:r>
      <w:r w:rsidRPr="005F6787">
        <w:rPr>
          <w:rFonts w:cs="Times New Roman"/>
          <w:szCs w:val="21"/>
        </w:rPr>
        <w:t>Rn.243</w:t>
      </w:r>
      <w:r w:rsidRPr="005F6787">
        <w:rPr>
          <w:rFonts w:cs="Times New Roman"/>
          <w:szCs w:val="21"/>
        </w:rPr>
        <w:t>）。ここに、従来、無料市場における行為に対し、</w:t>
      </w:r>
      <w:r w:rsidRPr="005F6787">
        <w:rPr>
          <w:rFonts w:cs="Times New Roman"/>
          <w:szCs w:val="21"/>
        </w:rPr>
        <w:t>GWB</w:t>
      </w:r>
      <w:r w:rsidRPr="005F6787">
        <w:rPr>
          <w:rFonts w:cs="Times New Roman"/>
          <w:szCs w:val="21"/>
        </w:rPr>
        <w:t>を適用してこなかったことの見直しが明示されている。</w:t>
      </w:r>
    </w:p>
    <w:p w14:paraId="7617345B" w14:textId="77777777" w:rsidR="002972CB" w:rsidRPr="005F6787" w:rsidRDefault="002972CB" w:rsidP="002711B8">
      <w:pPr>
        <w:ind w:firstLineChars="100" w:firstLine="210"/>
        <w:rPr>
          <w:szCs w:val="21"/>
        </w:rPr>
      </w:pPr>
    </w:p>
    <w:p w14:paraId="73406D68" w14:textId="77777777" w:rsidR="002972CB" w:rsidRPr="005F6787" w:rsidRDefault="00BA66A0" w:rsidP="00A2447B">
      <w:pPr>
        <w:rPr>
          <w:szCs w:val="21"/>
        </w:rPr>
      </w:pPr>
      <w:r w:rsidRPr="005F6787">
        <w:rPr>
          <w:szCs w:val="21"/>
        </w:rPr>
        <w:lastRenderedPageBreak/>
        <w:t>(2</w:t>
      </w:r>
      <w:r w:rsidR="002972CB" w:rsidRPr="005F6787">
        <w:rPr>
          <w:szCs w:val="21"/>
        </w:rPr>
        <w:t xml:space="preserve">) </w:t>
      </w:r>
      <w:r w:rsidR="002972CB" w:rsidRPr="005F6787">
        <w:rPr>
          <w:szCs w:val="21"/>
        </w:rPr>
        <w:t>無料市場であっても、競争法上の市場（日本独禁法上の「一定の取引分野」）と認めることがありうるということは、最近ではドイツ以外にも、既に</w:t>
      </w:r>
      <w:r w:rsidR="002972CB" w:rsidRPr="005F6787">
        <w:rPr>
          <w:szCs w:val="21"/>
        </w:rPr>
        <w:t>EU</w:t>
      </w:r>
      <w:r w:rsidR="002972CB" w:rsidRPr="005F6787">
        <w:rPr>
          <w:szCs w:val="21"/>
        </w:rPr>
        <w:t>や日本でも説かれるようになっている。</w:t>
      </w:r>
      <w:r w:rsidR="002972CB" w:rsidRPr="005F6787">
        <w:rPr>
          <w:szCs w:val="21"/>
        </w:rPr>
        <w:t>FB</w:t>
      </w:r>
      <w:r w:rsidR="002972CB" w:rsidRPr="005F6787">
        <w:rPr>
          <w:szCs w:val="21"/>
        </w:rPr>
        <w:t>と</w:t>
      </w:r>
      <w:r w:rsidR="002972CB" w:rsidRPr="005F6787">
        <w:rPr>
          <w:rFonts w:cs="ＭＳ 明朝"/>
          <w:kern w:val="0"/>
          <w:szCs w:val="21"/>
        </w:rPr>
        <w:t>個人ユーザー</w:t>
      </w:r>
      <w:r w:rsidR="002972CB" w:rsidRPr="005F6787">
        <w:rPr>
          <w:szCs w:val="21"/>
        </w:rPr>
        <w:t>の間には、無料であっても、</w:t>
      </w:r>
      <w:r w:rsidR="002972CB" w:rsidRPr="005F6787">
        <w:rPr>
          <w:rFonts w:cs="ＭＳ 明朝"/>
          <w:kern w:val="0"/>
          <w:szCs w:val="21"/>
        </w:rPr>
        <w:t>ユーザー情報の提供を含む約款に基づく</w:t>
      </w:r>
      <w:r w:rsidR="002972CB" w:rsidRPr="005F6787">
        <w:rPr>
          <w:szCs w:val="21"/>
        </w:rPr>
        <w:t>契約が成立しており、また広告市場との間接ネットワーク効果関係を背景に、間接的に収益を得るビジネスモデルが組み込まれているのであるから、</w:t>
      </w:r>
      <w:r w:rsidR="002972CB" w:rsidRPr="005F6787">
        <w:rPr>
          <w:rFonts w:cs="ＭＳ 明朝"/>
          <w:kern w:val="0"/>
          <w:szCs w:val="21"/>
        </w:rPr>
        <w:t>個人ユーザー</w:t>
      </w:r>
      <w:r w:rsidR="002972CB" w:rsidRPr="005F6787">
        <w:rPr>
          <w:szCs w:val="21"/>
        </w:rPr>
        <w:t>に対する</w:t>
      </w:r>
      <w:r w:rsidR="008872F5" w:rsidRPr="005F6787">
        <w:rPr>
          <w:szCs w:val="21"/>
        </w:rPr>
        <w:t>SNS</w:t>
      </w:r>
      <w:r w:rsidR="008872F5" w:rsidRPr="005F6787">
        <w:rPr>
          <w:szCs w:val="21"/>
        </w:rPr>
        <w:t>・</w:t>
      </w:r>
      <w:r w:rsidR="002972CB" w:rsidRPr="005F6787">
        <w:rPr>
          <w:szCs w:val="21"/>
        </w:rPr>
        <w:t>検索サービス提供についても競争法上の市場と認めることができる</w:t>
      </w:r>
      <w:r w:rsidR="002972CB" w:rsidRPr="005F6787">
        <w:rPr>
          <w:rStyle w:val="ad"/>
          <w:szCs w:val="21"/>
        </w:rPr>
        <w:footnoteReference w:id="8"/>
      </w:r>
      <w:r w:rsidR="002972CB" w:rsidRPr="005F6787">
        <w:rPr>
          <w:szCs w:val="21"/>
        </w:rPr>
        <w:t>。</w:t>
      </w:r>
    </w:p>
    <w:p w14:paraId="09B233C8" w14:textId="77777777" w:rsidR="002972CB" w:rsidRPr="005F6787" w:rsidRDefault="002972CB" w:rsidP="00B55CFB">
      <w:pPr>
        <w:ind w:firstLineChars="100" w:firstLine="210"/>
        <w:rPr>
          <w:szCs w:val="21"/>
        </w:rPr>
      </w:pPr>
      <w:r w:rsidRPr="005F6787">
        <w:rPr>
          <w:szCs w:val="21"/>
        </w:rPr>
        <w:t>一般に、デジタルプラットフォームには、取引型デジタルプラットフォーム（マッチング・デジタルプラットフォーム）と非取引型デジタルプラットフォーム（関心デジタルプラットフォーム）に分類されると説かれている</w:t>
      </w:r>
      <w:r w:rsidR="00BA66A0" w:rsidRPr="005F6787">
        <w:rPr>
          <w:rStyle w:val="ad"/>
          <w:szCs w:val="21"/>
        </w:rPr>
        <w:footnoteReference w:id="9"/>
      </w:r>
      <w:r w:rsidRPr="005F6787">
        <w:rPr>
          <w:szCs w:val="21"/>
        </w:rPr>
        <w:t>。本決定においても、「関心プラットフォーム</w:t>
      </w:r>
      <w:r w:rsidRPr="005F6787">
        <w:rPr>
          <w:szCs w:val="21"/>
        </w:rPr>
        <w:t xml:space="preserve">(Aufmerksamkeitsplattformen </w:t>
      </w:r>
      <w:r w:rsidRPr="005F6787">
        <w:rPr>
          <w:szCs w:val="21"/>
        </w:rPr>
        <w:t>）」という用語が用いられている。</w:t>
      </w:r>
    </w:p>
    <w:p w14:paraId="14794305" w14:textId="77777777" w:rsidR="002972CB" w:rsidRPr="005F6787" w:rsidRDefault="002972CB" w:rsidP="00F571D0">
      <w:pPr>
        <w:ind w:firstLineChars="100" w:firstLine="210"/>
        <w:rPr>
          <w:szCs w:val="21"/>
        </w:rPr>
      </w:pPr>
      <w:r w:rsidRPr="005F6787">
        <w:rPr>
          <w:szCs w:val="21"/>
        </w:rPr>
        <w:t>しかし、後者、少なくともグーグルとフェイスブック（</w:t>
      </w:r>
      <w:r w:rsidRPr="005F6787">
        <w:rPr>
          <w:szCs w:val="21"/>
        </w:rPr>
        <w:t>FB</w:t>
      </w:r>
      <w:r w:rsidRPr="005F6787">
        <w:rPr>
          <w:szCs w:val="21"/>
        </w:rPr>
        <w:t>）については、両者と消費者の間には、私法上の契約、また同時に、競争法上の「取引」があるとみるべきであり、競争法上の規制が適用されると考えられる</w:t>
      </w:r>
      <w:r w:rsidR="00E2485E" w:rsidRPr="005F6787">
        <w:rPr>
          <w:szCs w:val="21"/>
        </w:rPr>
        <w:t>（したがって、非取引型デジタルプラットフォームという名称はミスリーディングであろう）</w:t>
      </w:r>
      <w:r w:rsidRPr="005F6787">
        <w:rPr>
          <w:szCs w:val="21"/>
        </w:rPr>
        <w:t>。</w:t>
      </w:r>
    </w:p>
    <w:p w14:paraId="0B0CD59C" w14:textId="77777777" w:rsidR="002972CB" w:rsidRPr="005F6787" w:rsidRDefault="002972CB" w:rsidP="00F571D0">
      <w:pPr>
        <w:ind w:firstLineChars="100" w:firstLine="210"/>
        <w:rPr>
          <w:szCs w:val="21"/>
        </w:rPr>
      </w:pPr>
    </w:p>
    <w:p w14:paraId="066B7D65" w14:textId="77777777" w:rsidR="002972CB" w:rsidRPr="005F6787" w:rsidRDefault="00BA66A0" w:rsidP="00A2447B">
      <w:pPr>
        <w:autoSpaceDE w:val="0"/>
        <w:autoSpaceDN w:val="0"/>
        <w:adjustRightInd w:val="0"/>
        <w:jc w:val="left"/>
        <w:rPr>
          <w:rFonts w:cs="ＭＳ 明朝"/>
          <w:kern w:val="0"/>
          <w:szCs w:val="21"/>
        </w:rPr>
      </w:pPr>
      <w:r w:rsidRPr="005F6787">
        <w:rPr>
          <w:szCs w:val="21"/>
        </w:rPr>
        <w:t>(3</w:t>
      </w:r>
      <w:r w:rsidR="002972CB" w:rsidRPr="005F6787">
        <w:rPr>
          <w:szCs w:val="21"/>
        </w:rPr>
        <w:t xml:space="preserve">) </w:t>
      </w:r>
      <w:r w:rsidR="002972CB" w:rsidRPr="005F6787">
        <w:rPr>
          <w:szCs w:val="21"/>
        </w:rPr>
        <w:t>なお、</w:t>
      </w:r>
      <w:r w:rsidR="002972CB" w:rsidRPr="005F6787">
        <w:rPr>
          <w:szCs w:val="21"/>
        </w:rPr>
        <w:t>FB</w:t>
      </w:r>
      <w:r w:rsidR="002972CB" w:rsidRPr="005F6787">
        <w:rPr>
          <w:szCs w:val="21"/>
        </w:rPr>
        <w:t>のビジネスモデルにおいて</w:t>
      </w:r>
      <w:r w:rsidR="002972CB" w:rsidRPr="005F6787">
        <w:rPr>
          <w:rFonts w:cs="ＭＳ 明朝"/>
          <w:kern w:val="0"/>
          <w:szCs w:val="21"/>
        </w:rPr>
        <w:t>は、</w:t>
      </w:r>
      <w:r w:rsidR="002972CB" w:rsidRPr="005F6787">
        <w:rPr>
          <w:szCs w:val="21"/>
        </w:rPr>
        <w:t>個人ユーザーのほかに、広告主等の</w:t>
      </w:r>
      <w:r w:rsidR="002972CB" w:rsidRPr="005F6787">
        <w:rPr>
          <w:rFonts w:cs="ＭＳ 明朝"/>
          <w:kern w:val="0"/>
          <w:szCs w:val="21"/>
        </w:rPr>
        <w:t>ユーザーグループ、コンテンツ供給者（</w:t>
      </w:r>
      <w:r w:rsidR="002972CB" w:rsidRPr="005F6787">
        <w:rPr>
          <w:szCs w:val="21"/>
        </w:rPr>
        <w:t>Inhalteanbieter</w:t>
      </w:r>
      <w:r w:rsidR="002972CB" w:rsidRPr="005F6787">
        <w:rPr>
          <w:szCs w:val="21"/>
        </w:rPr>
        <w:t>）や</w:t>
      </w:r>
      <w:r w:rsidR="002972CB" w:rsidRPr="005F6787">
        <w:rPr>
          <w:rFonts w:cs="ＭＳ 明朝"/>
          <w:kern w:val="0"/>
          <w:szCs w:val="21"/>
        </w:rPr>
        <w:t>アプリ開発者（</w:t>
      </w:r>
      <w:r w:rsidR="002972CB" w:rsidRPr="005F6787">
        <w:rPr>
          <w:szCs w:val="21"/>
        </w:rPr>
        <w:t>Entwicklern</w:t>
      </w:r>
      <w:r w:rsidR="002972CB" w:rsidRPr="005F6787">
        <w:rPr>
          <w:szCs w:val="21"/>
        </w:rPr>
        <w:t>）も関係するが</w:t>
      </w:r>
      <w:r w:rsidR="002972CB" w:rsidRPr="005F6787">
        <w:rPr>
          <w:rFonts w:cs="ＭＳ 明朝"/>
          <w:kern w:val="0"/>
          <w:szCs w:val="21"/>
        </w:rPr>
        <w:t>、個人ユーザーグループとは比較可能な需要をもっていないので、それらは別の市場に帰属するとされている（</w:t>
      </w:r>
      <w:r w:rsidR="002972CB" w:rsidRPr="005F6787">
        <w:rPr>
          <w:rFonts w:cs="ＭＳ 明朝"/>
          <w:kern w:val="0"/>
          <w:szCs w:val="21"/>
        </w:rPr>
        <w:t>Rn.245</w:t>
      </w:r>
      <w:r w:rsidR="002972CB" w:rsidRPr="005F6787">
        <w:rPr>
          <w:rFonts w:cs="ＭＳ 明朝"/>
          <w:kern w:val="0"/>
          <w:szCs w:val="21"/>
        </w:rPr>
        <w:t>以下）</w:t>
      </w:r>
      <w:r w:rsidRPr="005F6787">
        <w:rPr>
          <w:rFonts w:cs="ＭＳ 明朝"/>
          <w:kern w:val="0"/>
          <w:szCs w:val="21"/>
        </w:rPr>
        <w:t>。</w:t>
      </w:r>
    </w:p>
    <w:p w14:paraId="64B63640" w14:textId="77777777" w:rsidR="002972CB" w:rsidRPr="005F6787" w:rsidRDefault="002972CB" w:rsidP="002711B8">
      <w:pPr>
        <w:ind w:firstLineChars="100" w:firstLine="210"/>
        <w:rPr>
          <w:szCs w:val="21"/>
        </w:rPr>
      </w:pPr>
      <w:r w:rsidRPr="005F6787">
        <w:rPr>
          <w:szCs w:val="21"/>
        </w:rPr>
        <w:t>本決定はこのように多くの市場に細分化した点で、アメックス事件＝米国連邦最高裁判所</w:t>
      </w:r>
      <w:r w:rsidRPr="005F6787">
        <w:rPr>
          <w:szCs w:val="21"/>
        </w:rPr>
        <w:t>2018</w:t>
      </w:r>
      <w:r w:rsidRPr="005F6787">
        <w:rPr>
          <w:szCs w:val="21"/>
        </w:rPr>
        <w:t>年</w:t>
      </w:r>
      <w:r w:rsidRPr="005F6787">
        <w:rPr>
          <w:szCs w:val="21"/>
        </w:rPr>
        <w:t>6</w:t>
      </w:r>
      <w:r w:rsidRPr="005F6787">
        <w:rPr>
          <w:szCs w:val="21"/>
        </w:rPr>
        <w:t>月</w:t>
      </w:r>
      <w:r w:rsidRPr="005F6787">
        <w:rPr>
          <w:szCs w:val="21"/>
        </w:rPr>
        <w:t>25</w:t>
      </w:r>
      <w:r w:rsidRPr="005F6787">
        <w:rPr>
          <w:szCs w:val="21"/>
        </w:rPr>
        <w:t>日判決が、消費者グループとカード加盟店グループを含めた</w:t>
      </w:r>
      <w:r w:rsidRPr="005F6787">
        <w:rPr>
          <w:szCs w:val="21"/>
        </w:rPr>
        <w:t>1</w:t>
      </w:r>
      <w:r w:rsidRPr="005F6787">
        <w:rPr>
          <w:szCs w:val="21"/>
        </w:rPr>
        <w:t>つの市場を画定したことと対照的である</w:t>
      </w:r>
      <w:r w:rsidRPr="005F6787">
        <w:rPr>
          <w:rStyle w:val="ad"/>
          <w:szCs w:val="21"/>
        </w:rPr>
        <w:footnoteReference w:id="10"/>
      </w:r>
      <w:r w:rsidRPr="005F6787">
        <w:rPr>
          <w:szCs w:val="21"/>
        </w:rPr>
        <w:t>。</w:t>
      </w:r>
    </w:p>
    <w:p w14:paraId="3D4C15AF" w14:textId="77777777" w:rsidR="002972CB" w:rsidRPr="005F6787" w:rsidRDefault="002972CB" w:rsidP="002711B8">
      <w:pPr>
        <w:ind w:firstLineChars="100" w:firstLine="210"/>
        <w:rPr>
          <w:szCs w:val="21"/>
        </w:rPr>
      </w:pPr>
    </w:p>
    <w:p w14:paraId="2AE8ABA6" w14:textId="77777777" w:rsidR="002972CB" w:rsidRPr="005F6787" w:rsidRDefault="00BA66A0" w:rsidP="00534BF5">
      <w:pPr>
        <w:pStyle w:val="1"/>
        <w:rPr>
          <w:rFonts w:asciiTheme="minorHAnsi" w:eastAsiaTheme="minorEastAsia" w:hAnsiTheme="minorHAnsi"/>
          <w:b/>
          <w:sz w:val="21"/>
          <w:szCs w:val="21"/>
        </w:rPr>
      </w:pPr>
      <w:r w:rsidRPr="005F6787">
        <w:rPr>
          <w:rFonts w:asciiTheme="minorHAnsi" w:eastAsiaTheme="minorEastAsia" w:hAnsiTheme="minorHAnsi"/>
          <w:b/>
          <w:sz w:val="21"/>
          <w:szCs w:val="21"/>
        </w:rPr>
        <w:t xml:space="preserve">3. </w:t>
      </w:r>
      <w:r w:rsidR="002972CB" w:rsidRPr="005F6787">
        <w:rPr>
          <w:rFonts w:asciiTheme="minorHAnsi" w:eastAsiaTheme="minorEastAsia" w:hAnsiTheme="minorHAnsi"/>
          <w:b/>
          <w:sz w:val="21"/>
          <w:szCs w:val="21"/>
        </w:rPr>
        <w:t>市場支配的地位</w:t>
      </w:r>
    </w:p>
    <w:p w14:paraId="3B0DC750" w14:textId="77777777" w:rsidR="002972CB" w:rsidRPr="005F6787" w:rsidRDefault="002972CB" w:rsidP="008A2470">
      <w:pPr>
        <w:autoSpaceDE w:val="0"/>
        <w:autoSpaceDN w:val="0"/>
        <w:adjustRightInd w:val="0"/>
        <w:ind w:firstLineChars="100" w:firstLine="210"/>
        <w:jc w:val="left"/>
        <w:rPr>
          <w:szCs w:val="21"/>
        </w:rPr>
      </w:pPr>
      <w:r w:rsidRPr="005F6787">
        <w:rPr>
          <w:szCs w:val="21"/>
        </w:rPr>
        <w:t>本決定によれば、「</w:t>
      </w:r>
      <w:r w:rsidRPr="005F6787">
        <w:rPr>
          <w:szCs w:val="21"/>
        </w:rPr>
        <w:t>FB</w:t>
      </w:r>
      <w:r w:rsidRPr="005F6787">
        <w:rPr>
          <w:szCs w:val="21"/>
        </w:rPr>
        <w:t>は、個人ユーザーに対する国内市場において、</w:t>
      </w:r>
      <w:r w:rsidRPr="005F6787">
        <w:rPr>
          <w:szCs w:val="21"/>
        </w:rPr>
        <w:t>GWB18</w:t>
      </w:r>
      <w:r w:rsidRPr="005F6787">
        <w:rPr>
          <w:szCs w:val="21"/>
        </w:rPr>
        <w:t>条</w:t>
      </w:r>
      <w:r w:rsidRPr="005F6787">
        <w:rPr>
          <w:szCs w:val="21"/>
        </w:rPr>
        <w:t>3a</w:t>
      </w:r>
      <w:r w:rsidRPr="005F6787">
        <w:rPr>
          <w:szCs w:val="21"/>
        </w:rPr>
        <w:t>項と</w:t>
      </w:r>
      <w:r w:rsidRPr="005F6787">
        <w:rPr>
          <w:szCs w:val="21"/>
        </w:rPr>
        <w:t>3</w:t>
      </w:r>
      <w:r w:rsidRPr="005F6787">
        <w:rPr>
          <w:szCs w:val="21"/>
        </w:rPr>
        <w:t>項に結びつけられて、</w:t>
      </w:r>
      <w:r w:rsidRPr="005F6787">
        <w:rPr>
          <w:szCs w:val="21"/>
        </w:rPr>
        <w:t>18</w:t>
      </w:r>
      <w:r w:rsidRPr="005F6787">
        <w:rPr>
          <w:szCs w:val="21"/>
        </w:rPr>
        <w:t>条</w:t>
      </w:r>
      <w:r w:rsidRPr="005F6787">
        <w:rPr>
          <w:szCs w:val="21"/>
        </w:rPr>
        <w:t>1</w:t>
      </w:r>
      <w:r w:rsidRPr="005F6787">
        <w:rPr>
          <w:szCs w:val="21"/>
        </w:rPr>
        <w:t>項の意味において市場支配的である」（</w:t>
      </w:r>
      <w:r w:rsidRPr="005F6787">
        <w:rPr>
          <w:szCs w:val="21"/>
        </w:rPr>
        <w:t>Rn.165</w:t>
      </w:r>
      <w:r w:rsidRPr="005F6787">
        <w:rPr>
          <w:szCs w:val="21"/>
        </w:rPr>
        <w:t>）。</w:t>
      </w:r>
    </w:p>
    <w:p w14:paraId="1AA410E5" w14:textId="77777777" w:rsidR="002972CB" w:rsidRPr="005F6787" w:rsidRDefault="002972CB" w:rsidP="008A2470">
      <w:pPr>
        <w:autoSpaceDE w:val="0"/>
        <w:autoSpaceDN w:val="0"/>
        <w:adjustRightInd w:val="0"/>
        <w:ind w:firstLineChars="100" w:firstLine="210"/>
        <w:jc w:val="left"/>
        <w:rPr>
          <w:szCs w:val="21"/>
        </w:rPr>
      </w:pPr>
      <w:r w:rsidRPr="005F6787">
        <w:rPr>
          <w:szCs w:val="21"/>
        </w:rPr>
        <w:t>GWB18</w:t>
      </w:r>
      <w:r w:rsidRPr="005F6787">
        <w:rPr>
          <w:szCs w:val="21"/>
        </w:rPr>
        <w:t>条</w:t>
      </w:r>
      <w:r w:rsidRPr="005F6787">
        <w:rPr>
          <w:szCs w:val="21"/>
        </w:rPr>
        <w:t>3a</w:t>
      </w:r>
      <w:r w:rsidRPr="005F6787">
        <w:rPr>
          <w:szCs w:val="21"/>
        </w:rPr>
        <w:t>項も、前記の</w:t>
      </w:r>
      <w:r w:rsidRPr="005F6787">
        <w:rPr>
          <w:szCs w:val="21"/>
        </w:rPr>
        <w:t>2a</w:t>
      </w:r>
      <w:r w:rsidRPr="005F6787">
        <w:rPr>
          <w:szCs w:val="21"/>
        </w:rPr>
        <w:t>項と同様、第</w:t>
      </w:r>
      <w:r w:rsidRPr="005F6787">
        <w:rPr>
          <w:szCs w:val="21"/>
        </w:rPr>
        <w:t>9</w:t>
      </w:r>
      <w:r w:rsidRPr="005F6787">
        <w:rPr>
          <w:szCs w:val="21"/>
        </w:rPr>
        <w:t>次改正で新設されたものであり、「多面的市場やネットワークにおける事業者の市場地位の評価に際しては、特に以下のファクターを考慮する」として、直接的及び間接的ネットワーク効果、転換コスト、競争に関連するデータへのアクセス、イノベーションによって推し進められる競争圧力等が挙げられている</w:t>
      </w:r>
      <w:r w:rsidRPr="005F6787">
        <w:rPr>
          <w:rStyle w:val="ad"/>
          <w:szCs w:val="21"/>
        </w:rPr>
        <w:footnoteReference w:id="11"/>
      </w:r>
      <w:r w:rsidRPr="005F6787">
        <w:rPr>
          <w:szCs w:val="21"/>
        </w:rPr>
        <w:t>。</w:t>
      </w:r>
    </w:p>
    <w:p w14:paraId="2328E9F3" w14:textId="77777777" w:rsidR="00C27355" w:rsidRPr="005F6787" w:rsidRDefault="002972CB" w:rsidP="002711B8">
      <w:pPr>
        <w:ind w:firstLineChars="100" w:firstLine="210"/>
        <w:rPr>
          <w:szCs w:val="21"/>
        </w:rPr>
      </w:pPr>
      <w:r w:rsidRPr="005F6787">
        <w:rPr>
          <w:rFonts w:cs="Times New Roman"/>
          <w:szCs w:val="21"/>
        </w:rPr>
        <w:lastRenderedPageBreak/>
        <w:t>ドイツ国内</w:t>
      </w:r>
      <w:r w:rsidRPr="005F6787">
        <w:rPr>
          <w:rFonts w:cs="Times New Roman"/>
          <w:szCs w:val="21"/>
        </w:rPr>
        <w:t>SNS</w:t>
      </w:r>
      <w:r w:rsidRPr="005F6787">
        <w:rPr>
          <w:szCs w:val="21"/>
        </w:rPr>
        <w:t>市場における</w:t>
      </w:r>
      <w:r w:rsidRPr="005F6787">
        <w:rPr>
          <w:szCs w:val="21"/>
        </w:rPr>
        <w:t>FB</w:t>
      </w:r>
      <w:r w:rsidRPr="005F6787">
        <w:rPr>
          <w:szCs w:val="21"/>
        </w:rPr>
        <w:t>のシェアは</w:t>
      </w:r>
      <w:r w:rsidRPr="005F6787">
        <w:rPr>
          <w:rFonts w:cs="Times New Roman"/>
          <w:szCs w:val="21"/>
        </w:rPr>
        <w:t>95%</w:t>
      </w:r>
      <w:r w:rsidRPr="005F6787">
        <w:rPr>
          <w:rFonts w:cs="Times New Roman"/>
          <w:szCs w:val="21"/>
        </w:rPr>
        <w:t>超であり、仮に</w:t>
      </w:r>
      <w:r w:rsidRPr="005F6787">
        <w:rPr>
          <w:szCs w:val="21"/>
        </w:rPr>
        <w:t>、</w:t>
      </w:r>
      <w:r w:rsidRPr="005F6787">
        <w:rPr>
          <w:szCs w:val="21"/>
        </w:rPr>
        <w:t>YouTube</w:t>
      </w:r>
      <w:r w:rsidRPr="005F6787">
        <w:rPr>
          <w:szCs w:val="21"/>
        </w:rPr>
        <w:t>、</w:t>
      </w:r>
      <w:r w:rsidRPr="005F6787">
        <w:rPr>
          <w:szCs w:val="21"/>
        </w:rPr>
        <w:t>Snapchat</w:t>
      </w:r>
      <w:r w:rsidRPr="005F6787">
        <w:rPr>
          <w:szCs w:val="21"/>
        </w:rPr>
        <w:t>、</w:t>
      </w:r>
      <w:r w:rsidRPr="005F6787">
        <w:rPr>
          <w:szCs w:val="21"/>
        </w:rPr>
        <w:t>Twitter</w:t>
      </w:r>
      <w:r w:rsidRPr="005F6787">
        <w:rPr>
          <w:szCs w:val="21"/>
        </w:rPr>
        <w:t>、</w:t>
      </w:r>
      <w:r w:rsidRPr="005F6787">
        <w:rPr>
          <w:szCs w:val="21"/>
        </w:rPr>
        <w:t xml:space="preserve"> WhatsApp</w:t>
      </w:r>
      <w:r w:rsidRPr="005F6787">
        <w:rPr>
          <w:szCs w:val="21"/>
        </w:rPr>
        <w:t>、</w:t>
      </w:r>
      <w:r w:rsidRPr="005F6787">
        <w:rPr>
          <w:szCs w:val="21"/>
        </w:rPr>
        <w:t xml:space="preserve">Instagram </w:t>
      </w:r>
      <w:r w:rsidRPr="005F6787">
        <w:rPr>
          <w:szCs w:val="21"/>
        </w:rPr>
        <w:t>を関連市場に算入したとしても、</w:t>
      </w:r>
      <w:r w:rsidRPr="005F6787">
        <w:rPr>
          <w:szCs w:val="21"/>
        </w:rPr>
        <w:t xml:space="preserve">Facebook </w:t>
      </w:r>
      <w:r w:rsidRPr="005F6787">
        <w:rPr>
          <w:szCs w:val="21"/>
        </w:rPr>
        <w:t>社グループのサービスは全体で</w:t>
      </w:r>
      <w:r w:rsidRPr="005F6787">
        <w:rPr>
          <w:szCs w:val="21"/>
        </w:rPr>
        <w:t xml:space="preserve">GWB18 </w:t>
      </w:r>
      <w:r w:rsidRPr="005F6787">
        <w:rPr>
          <w:szCs w:val="21"/>
        </w:rPr>
        <w:t>条</w:t>
      </w:r>
      <w:r w:rsidRPr="005F6787">
        <w:rPr>
          <w:szCs w:val="21"/>
        </w:rPr>
        <w:t xml:space="preserve"> 4 </w:t>
      </w:r>
      <w:r w:rsidRPr="005F6787">
        <w:rPr>
          <w:szCs w:val="21"/>
        </w:rPr>
        <w:t>項の市場支配推定の市場シェア</w:t>
      </w:r>
      <w:r w:rsidRPr="005F6787">
        <w:rPr>
          <w:szCs w:val="21"/>
        </w:rPr>
        <w:t>(40</w:t>
      </w:r>
      <w:r w:rsidRPr="005F6787">
        <w:rPr>
          <w:szCs w:val="21"/>
        </w:rPr>
        <w:t>％以上</w:t>
      </w:r>
      <w:r w:rsidRPr="005F6787">
        <w:rPr>
          <w:szCs w:val="21"/>
        </w:rPr>
        <w:t>)</w:t>
      </w:r>
      <w:r w:rsidRPr="005F6787">
        <w:rPr>
          <w:szCs w:val="21"/>
        </w:rPr>
        <w:t>を超えるところ</w:t>
      </w:r>
      <w:r w:rsidR="00C27355" w:rsidRPr="005F6787">
        <w:rPr>
          <w:szCs w:val="21"/>
        </w:rPr>
        <w:t>に達している。</w:t>
      </w:r>
    </w:p>
    <w:p w14:paraId="73A3D110" w14:textId="77777777" w:rsidR="002972CB" w:rsidRPr="005F6787" w:rsidRDefault="00C27355" w:rsidP="00C27355">
      <w:pPr>
        <w:ind w:firstLineChars="100" w:firstLine="210"/>
        <w:rPr>
          <w:szCs w:val="21"/>
        </w:rPr>
      </w:pPr>
      <w:r w:rsidRPr="005F6787">
        <w:rPr>
          <w:szCs w:val="21"/>
        </w:rPr>
        <w:t>これに加えて</w:t>
      </w:r>
      <w:r w:rsidR="002972CB" w:rsidRPr="005F6787">
        <w:rPr>
          <w:szCs w:val="21"/>
        </w:rPr>
        <w:t>、</w:t>
      </w:r>
      <w:r w:rsidR="002972CB" w:rsidRPr="005F6787">
        <w:rPr>
          <w:szCs w:val="21"/>
        </w:rPr>
        <w:t>FB</w:t>
      </w:r>
      <w:r w:rsidR="002972CB" w:rsidRPr="005F6787">
        <w:rPr>
          <w:szCs w:val="21"/>
        </w:rPr>
        <w:t>に関する著しい直接的ネットワーク効果とそれに関連して他の</w:t>
      </w:r>
      <w:r w:rsidR="002972CB" w:rsidRPr="005F6787">
        <w:rPr>
          <w:szCs w:val="21"/>
        </w:rPr>
        <w:t>SNS</w:t>
      </w:r>
      <w:r w:rsidR="002972CB" w:rsidRPr="005F6787">
        <w:rPr>
          <w:szCs w:val="21"/>
        </w:rPr>
        <w:t>に乗り換えることへのハードルの高さ、</w:t>
      </w:r>
      <w:r w:rsidR="002972CB" w:rsidRPr="005F6787">
        <w:rPr>
          <w:szCs w:val="21"/>
        </w:rPr>
        <w:t>FB</w:t>
      </w:r>
      <w:r w:rsidR="002972CB" w:rsidRPr="005F6787">
        <w:rPr>
          <w:szCs w:val="21"/>
        </w:rPr>
        <w:t>の膨大なデータ情報源</w:t>
      </w:r>
      <w:r w:rsidR="002972CB" w:rsidRPr="005F6787">
        <w:rPr>
          <w:szCs w:val="21"/>
        </w:rPr>
        <w:t xml:space="preserve">, </w:t>
      </w:r>
      <w:r w:rsidR="002972CB" w:rsidRPr="005F6787">
        <w:rPr>
          <w:szCs w:val="21"/>
        </w:rPr>
        <w:t>インターネットのイノベーション力等を考慮すれば、市場支配的地位を容易に認定できる</w:t>
      </w:r>
      <w:r w:rsidRPr="005F6787">
        <w:rPr>
          <w:szCs w:val="21"/>
        </w:rPr>
        <w:t>とされた</w:t>
      </w:r>
      <w:r w:rsidR="002972CB" w:rsidRPr="005F6787">
        <w:rPr>
          <w:szCs w:val="21"/>
        </w:rPr>
        <w:t>（</w:t>
      </w:r>
      <w:r w:rsidR="002972CB" w:rsidRPr="005F6787">
        <w:rPr>
          <w:szCs w:val="21"/>
        </w:rPr>
        <w:t>Rn. 374</w:t>
      </w:r>
      <w:r w:rsidR="002972CB" w:rsidRPr="005F6787">
        <w:rPr>
          <w:szCs w:val="21"/>
        </w:rPr>
        <w:t>以下）。</w:t>
      </w:r>
    </w:p>
    <w:p w14:paraId="6E983F15" w14:textId="77777777" w:rsidR="002972CB" w:rsidRPr="005F6787" w:rsidRDefault="002972CB" w:rsidP="002711B8">
      <w:pPr>
        <w:ind w:firstLineChars="100" w:firstLine="210"/>
        <w:rPr>
          <w:szCs w:val="21"/>
        </w:rPr>
      </w:pPr>
    </w:p>
    <w:p w14:paraId="61B8F499" w14:textId="77777777" w:rsidR="002972CB" w:rsidRPr="005F6787" w:rsidRDefault="006262A1" w:rsidP="00534BF5">
      <w:pPr>
        <w:pStyle w:val="1"/>
        <w:rPr>
          <w:rFonts w:asciiTheme="minorHAnsi" w:eastAsiaTheme="minorEastAsia" w:hAnsiTheme="minorHAnsi"/>
          <w:b/>
          <w:sz w:val="21"/>
          <w:szCs w:val="21"/>
        </w:rPr>
      </w:pPr>
      <w:r w:rsidRPr="005F6787">
        <w:rPr>
          <w:rFonts w:asciiTheme="minorHAnsi" w:eastAsiaTheme="minorEastAsia" w:hAnsiTheme="minorHAnsi"/>
          <w:b/>
          <w:sz w:val="21"/>
          <w:szCs w:val="21"/>
        </w:rPr>
        <w:t>4</w:t>
      </w:r>
      <w:r w:rsidR="00C27355" w:rsidRPr="005F6787">
        <w:rPr>
          <w:rFonts w:asciiTheme="minorHAnsi" w:eastAsiaTheme="minorEastAsia" w:hAnsiTheme="minorHAnsi"/>
          <w:b/>
          <w:sz w:val="21"/>
          <w:szCs w:val="21"/>
        </w:rPr>
        <w:t xml:space="preserve">. </w:t>
      </w:r>
      <w:r w:rsidR="002972CB" w:rsidRPr="005F6787">
        <w:rPr>
          <w:rFonts w:asciiTheme="minorHAnsi" w:eastAsiaTheme="minorEastAsia" w:hAnsiTheme="minorHAnsi"/>
          <w:b/>
          <w:sz w:val="21"/>
          <w:szCs w:val="21"/>
        </w:rPr>
        <w:t>条件濫用</w:t>
      </w:r>
    </w:p>
    <w:p w14:paraId="0F8C880C" w14:textId="77777777" w:rsidR="004E2496" w:rsidRPr="005F6787" w:rsidRDefault="004E2496" w:rsidP="004E2496">
      <w:pPr>
        <w:pStyle w:val="2"/>
        <w:rPr>
          <w:rFonts w:asciiTheme="minorHAnsi" w:hAnsiTheme="minorHAnsi"/>
          <w:b/>
        </w:rPr>
      </w:pPr>
      <w:r w:rsidRPr="005F6787">
        <w:rPr>
          <w:rFonts w:asciiTheme="minorHAnsi" w:hAnsiTheme="minorHAnsi"/>
          <w:b/>
        </w:rPr>
        <w:t>(1)</w:t>
      </w:r>
      <w:r w:rsidRPr="005F6787">
        <w:rPr>
          <w:rFonts w:asciiTheme="minorHAnsi" w:hAnsiTheme="minorHAnsi"/>
          <w:b/>
        </w:rPr>
        <w:t xml:space="preserve">　ドイツ競争法における濫用規制</w:t>
      </w:r>
    </w:p>
    <w:p w14:paraId="1D4BEE82" w14:textId="77777777" w:rsidR="00D94911" w:rsidRPr="005F6787" w:rsidRDefault="004E2496" w:rsidP="004E2496">
      <w:pPr>
        <w:ind w:firstLineChars="100" w:firstLine="210"/>
        <w:rPr>
          <w:rFonts w:cs="メイリオ"/>
          <w:szCs w:val="21"/>
        </w:rPr>
      </w:pPr>
      <w:r w:rsidRPr="005F6787">
        <w:rPr>
          <w:szCs w:val="21"/>
        </w:rPr>
        <w:t>ドイツ競争制限禁止法（</w:t>
      </w:r>
      <w:r w:rsidR="00D94911" w:rsidRPr="005F6787">
        <w:rPr>
          <w:szCs w:val="21"/>
        </w:rPr>
        <w:t>GWB</w:t>
      </w:r>
      <w:r w:rsidRPr="005F6787">
        <w:rPr>
          <w:szCs w:val="21"/>
        </w:rPr>
        <w:t>）</w:t>
      </w:r>
      <w:r w:rsidR="00D94911" w:rsidRPr="005F6787">
        <w:rPr>
          <w:szCs w:val="21"/>
        </w:rPr>
        <w:t>19</w:t>
      </w:r>
      <w:r w:rsidR="00D94911" w:rsidRPr="005F6787">
        <w:rPr>
          <w:szCs w:val="21"/>
        </w:rPr>
        <w:t>条</w:t>
      </w:r>
      <w:r w:rsidR="00D94911" w:rsidRPr="005F6787">
        <w:rPr>
          <w:szCs w:val="21"/>
        </w:rPr>
        <w:t>1</w:t>
      </w:r>
      <w:r w:rsidR="00D94911" w:rsidRPr="005F6787">
        <w:rPr>
          <w:szCs w:val="21"/>
        </w:rPr>
        <w:t>項は、「</w:t>
      </w:r>
      <w:r w:rsidR="00D94911" w:rsidRPr="005F6787">
        <w:rPr>
          <w:rFonts w:cs="メイリオ"/>
          <w:szCs w:val="21"/>
        </w:rPr>
        <w:t>単独又は複数の事業者による市場支配的地位の濫用は禁止される」、と定める。これは濫用に関する一般条項とも呼ばれ、妨害的濫用と搾取的濫用をともに含む。</w:t>
      </w:r>
    </w:p>
    <w:p w14:paraId="0509A2E8" w14:textId="77777777" w:rsidR="004E2496" w:rsidRPr="005F6787" w:rsidRDefault="004E2496" w:rsidP="004E2496">
      <w:pPr>
        <w:ind w:firstLineChars="100" w:firstLine="210"/>
        <w:rPr>
          <w:szCs w:val="21"/>
        </w:rPr>
      </w:pPr>
      <w:r w:rsidRPr="005F6787">
        <w:rPr>
          <w:rFonts w:cs="メイリオ"/>
          <w:szCs w:val="21"/>
        </w:rPr>
        <w:t>濫用は、</w:t>
      </w:r>
      <w:r w:rsidRPr="005F6787">
        <w:rPr>
          <w:szCs w:val="21"/>
        </w:rPr>
        <w:t>妨害的濫用と搾取的濫用に分けられる。</w:t>
      </w:r>
    </w:p>
    <w:p w14:paraId="5DBB622A" w14:textId="77777777" w:rsidR="004E2496" w:rsidRPr="005F6787" w:rsidRDefault="004E2496" w:rsidP="004E2496">
      <w:pPr>
        <w:ind w:firstLineChars="100" w:firstLine="210"/>
        <w:rPr>
          <w:szCs w:val="21"/>
        </w:rPr>
      </w:pPr>
      <w:r w:rsidRPr="005F6787">
        <w:rPr>
          <w:szCs w:val="21"/>
        </w:rPr>
        <w:t>前者は、市場支配的事業者が自己の属する市場あるいは新規参入しようとする別の市場における競争者の事業活動を妨害することである（水平的濫用。比喩的にいえば、「ヨコの濫用」）。</w:t>
      </w:r>
    </w:p>
    <w:p w14:paraId="78B1D4D3" w14:textId="77777777" w:rsidR="004E2496" w:rsidRPr="005F6787" w:rsidRDefault="004E2496" w:rsidP="004E2496">
      <w:pPr>
        <w:ind w:firstLineChars="100" w:firstLine="210"/>
        <w:rPr>
          <w:szCs w:val="21"/>
        </w:rPr>
      </w:pPr>
      <w:r w:rsidRPr="005F6787">
        <w:rPr>
          <w:szCs w:val="21"/>
        </w:rPr>
        <w:t>これに対し、後者の搾取的濫用は、「その市場力に基づいてはじめて可能となる行為態様」によって、取引の相手方に対して、不利益を与える行為である（垂直的濫用。同じ比喩で言えば、「タテの濫用」）。</w:t>
      </w:r>
      <w:r w:rsidRPr="005F6787">
        <w:rPr>
          <w:rStyle w:val="ad"/>
          <w:szCs w:val="21"/>
        </w:rPr>
        <w:footnoteReference w:id="12"/>
      </w:r>
      <w:r w:rsidRPr="005F6787">
        <w:rPr>
          <w:szCs w:val="21"/>
        </w:rPr>
        <w:t xml:space="preserve">　本件で問題になっているのは、この搾取的濫用である。</w:t>
      </w:r>
    </w:p>
    <w:p w14:paraId="593E8E40" w14:textId="77777777" w:rsidR="00D94911" w:rsidRPr="005F6787" w:rsidRDefault="004E2496" w:rsidP="00D94911">
      <w:pPr>
        <w:ind w:firstLineChars="100" w:firstLine="210"/>
        <w:rPr>
          <w:szCs w:val="21"/>
        </w:rPr>
      </w:pPr>
      <w:r w:rsidRPr="005F6787">
        <w:rPr>
          <w:rFonts w:cs="メイリオ"/>
          <w:szCs w:val="21"/>
        </w:rPr>
        <w:t>これら</w:t>
      </w:r>
      <w:r w:rsidRPr="005F6787">
        <w:rPr>
          <w:rFonts w:cs="メイリオ"/>
          <w:szCs w:val="21"/>
        </w:rPr>
        <w:t>2</w:t>
      </w:r>
      <w:r w:rsidRPr="005F6787">
        <w:rPr>
          <w:rFonts w:cs="メイリオ"/>
          <w:szCs w:val="21"/>
        </w:rPr>
        <w:t>種類の濫用について</w:t>
      </w:r>
      <w:r w:rsidR="00D94911" w:rsidRPr="005F6787">
        <w:rPr>
          <w:rFonts w:cs="メイリオ"/>
          <w:szCs w:val="21"/>
        </w:rPr>
        <w:t>、</w:t>
      </w:r>
      <w:r w:rsidRPr="005F6787">
        <w:rPr>
          <w:rFonts w:cs="メイリオ"/>
          <w:szCs w:val="21"/>
        </w:rPr>
        <w:t>GWB19</w:t>
      </w:r>
      <w:r w:rsidRPr="005F6787">
        <w:rPr>
          <w:rFonts w:cs="メイリオ"/>
          <w:szCs w:val="21"/>
        </w:rPr>
        <w:t>条</w:t>
      </w:r>
      <w:r w:rsidR="00D94911" w:rsidRPr="005F6787">
        <w:rPr>
          <w:rFonts w:cs="メイリオ"/>
          <w:szCs w:val="21"/>
        </w:rPr>
        <w:t>2</w:t>
      </w:r>
      <w:r w:rsidR="00D94911" w:rsidRPr="005F6787">
        <w:rPr>
          <w:rFonts w:cs="メイリオ"/>
          <w:szCs w:val="21"/>
        </w:rPr>
        <w:t>項は、「</w:t>
      </w:r>
      <w:r w:rsidR="00D94911" w:rsidRPr="005F6787">
        <w:rPr>
          <w:rFonts w:cs="メイリオ"/>
          <w:szCs w:val="21"/>
        </w:rPr>
        <w:t>----</w:t>
      </w:r>
      <w:r w:rsidR="00D94911" w:rsidRPr="005F6787">
        <w:rPr>
          <w:szCs w:val="21"/>
        </w:rPr>
        <w:t>次の各号に該当する場合には，特に（＝例示的である、という意味）濫用に当たる」、として、</w:t>
      </w:r>
      <w:r w:rsidRPr="005F6787">
        <w:rPr>
          <w:szCs w:val="21"/>
        </w:rPr>
        <w:t>1</w:t>
      </w:r>
      <w:r w:rsidRPr="005F6787">
        <w:rPr>
          <w:szCs w:val="21"/>
        </w:rPr>
        <w:t>号と</w:t>
      </w:r>
      <w:r w:rsidRPr="005F6787">
        <w:rPr>
          <w:szCs w:val="21"/>
        </w:rPr>
        <w:t>2</w:t>
      </w:r>
      <w:r w:rsidRPr="005F6787">
        <w:rPr>
          <w:szCs w:val="21"/>
        </w:rPr>
        <w:t>号に分けて例示している。</w:t>
      </w:r>
    </w:p>
    <w:p w14:paraId="4FE400CB" w14:textId="77777777" w:rsidR="00D94911" w:rsidRPr="005F6787" w:rsidRDefault="004E2496" w:rsidP="00D94911">
      <w:pPr>
        <w:rPr>
          <w:rFonts w:eastAsia="ＭＳ 明朝"/>
          <w:szCs w:val="21"/>
        </w:rPr>
      </w:pPr>
      <w:r w:rsidRPr="005F6787">
        <w:rPr>
          <w:szCs w:val="21"/>
        </w:rPr>
        <w:t>「</w:t>
      </w:r>
      <w:r w:rsidR="00D94911" w:rsidRPr="005F6787">
        <w:rPr>
          <w:szCs w:val="21"/>
        </w:rPr>
        <w:t>1</w:t>
      </w:r>
      <w:r w:rsidR="00D94911" w:rsidRPr="005F6787">
        <w:rPr>
          <w:szCs w:val="21"/>
        </w:rPr>
        <w:t xml:space="preserve">号　</w:t>
      </w:r>
      <w:r w:rsidR="00D94911" w:rsidRPr="005F6787">
        <w:rPr>
          <w:rFonts w:eastAsia="ＭＳ 明朝"/>
          <w:szCs w:val="21"/>
        </w:rPr>
        <w:t>他の事業者を直接的又は間接的に不当に妨害し、又は、客観的に正当な理由がないのに直接的又は間接的に、同種の事業者と比べて差別的に取り扱う</w:t>
      </w:r>
      <w:r w:rsidRPr="005F6787">
        <w:rPr>
          <w:rFonts w:eastAsia="ＭＳ 明朝"/>
          <w:szCs w:val="21"/>
        </w:rPr>
        <w:t>場合。</w:t>
      </w:r>
    </w:p>
    <w:p w14:paraId="78FF59E3" w14:textId="77777777" w:rsidR="00D94911" w:rsidRPr="005F6787" w:rsidRDefault="00D94911" w:rsidP="00D94911">
      <w:pPr>
        <w:rPr>
          <w:rFonts w:eastAsia="ＭＳ 明朝"/>
          <w:szCs w:val="21"/>
        </w:rPr>
      </w:pPr>
      <w:r w:rsidRPr="005F6787">
        <w:rPr>
          <w:szCs w:val="21"/>
        </w:rPr>
        <w:t>2</w:t>
      </w:r>
      <w:r w:rsidRPr="005F6787">
        <w:rPr>
          <w:szCs w:val="21"/>
        </w:rPr>
        <w:t xml:space="preserve">号　</w:t>
      </w:r>
      <w:r w:rsidRPr="005F6787">
        <w:rPr>
          <w:rFonts w:eastAsia="ＭＳ 明朝"/>
          <w:szCs w:val="21"/>
        </w:rPr>
        <w:t>対価又は他の取引条件について，仮に有効な競争がある場合には高度の蓋然性で生じたであろうものとは異なるものを要求する場合。〈後段〉この場合特に，有効な競争のある比較可能な市場における企業の行動が考慮されねばならない。</w:t>
      </w:r>
      <w:r w:rsidR="004E2496" w:rsidRPr="005F6787">
        <w:rPr>
          <w:rFonts w:eastAsia="ＭＳ 明朝"/>
          <w:szCs w:val="21"/>
        </w:rPr>
        <w:t>」</w:t>
      </w:r>
    </w:p>
    <w:p w14:paraId="77285A1D" w14:textId="2D6C6CDF" w:rsidR="00D94911" w:rsidRPr="005F6787" w:rsidRDefault="004E2496" w:rsidP="00D94911">
      <w:pPr>
        <w:rPr>
          <w:szCs w:val="21"/>
        </w:rPr>
      </w:pPr>
      <w:r w:rsidRPr="005F6787">
        <w:rPr>
          <w:szCs w:val="21"/>
        </w:rPr>
        <w:t xml:space="preserve">　本決定</w:t>
      </w:r>
      <w:r w:rsidR="00EA744C" w:rsidRPr="005F6787">
        <w:rPr>
          <w:szCs w:val="21"/>
        </w:rPr>
        <w:t>で</w:t>
      </w:r>
      <w:r w:rsidRPr="005F6787">
        <w:rPr>
          <w:szCs w:val="21"/>
        </w:rPr>
        <w:t>は、</w:t>
      </w:r>
      <w:r w:rsidR="00D15330" w:rsidRPr="005F6787">
        <w:rPr>
          <w:szCs w:val="21"/>
        </w:rPr>
        <w:t>FB</w:t>
      </w:r>
      <w:r w:rsidR="00D15330" w:rsidRPr="005F6787">
        <w:rPr>
          <w:szCs w:val="21"/>
        </w:rPr>
        <w:t>の行為が、主として</w:t>
      </w:r>
      <w:r w:rsidRPr="005F6787">
        <w:rPr>
          <w:szCs w:val="21"/>
        </w:rPr>
        <w:t>後者の搾取的濫用</w:t>
      </w:r>
      <w:r w:rsidR="00D15330" w:rsidRPr="005F6787">
        <w:rPr>
          <w:szCs w:val="21"/>
        </w:rPr>
        <w:t>に当たるか否かが問題となっている。</w:t>
      </w:r>
    </w:p>
    <w:p w14:paraId="62160617" w14:textId="77777777" w:rsidR="00D94911" w:rsidRPr="005F6787" w:rsidRDefault="00D94911" w:rsidP="00D94911"/>
    <w:p w14:paraId="01F48E6E" w14:textId="77777777" w:rsidR="002972CB" w:rsidRPr="005F6787" w:rsidRDefault="00D15330" w:rsidP="004E4235">
      <w:pPr>
        <w:pStyle w:val="2"/>
        <w:rPr>
          <w:rFonts w:asciiTheme="minorHAnsi" w:eastAsiaTheme="minorEastAsia" w:hAnsiTheme="minorHAnsi"/>
          <w:b/>
          <w:szCs w:val="21"/>
        </w:rPr>
      </w:pPr>
      <w:r w:rsidRPr="005F6787">
        <w:rPr>
          <w:rFonts w:asciiTheme="minorHAnsi" w:eastAsiaTheme="minorEastAsia" w:hAnsiTheme="minorHAnsi"/>
          <w:b/>
          <w:szCs w:val="21"/>
        </w:rPr>
        <w:t>(2</w:t>
      </w:r>
      <w:r w:rsidR="002972CB" w:rsidRPr="005F6787">
        <w:rPr>
          <w:rFonts w:asciiTheme="minorHAnsi" w:eastAsiaTheme="minorEastAsia" w:hAnsiTheme="minorHAnsi"/>
          <w:b/>
          <w:szCs w:val="21"/>
        </w:rPr>
        <w:t>)</w:t>
      </w:r>
      <w:r w:rsidR="002972CB" w:rsidRPr="005F6787">
        <w:rPr>
          <w:rFonts w:asciiTheme="minorHAnsi" w:eastAsiaTheme="minorEastAsia" w:hAnsiTheme="minorHAnsi"/>
          <w:b/>
          <w:szCs w:val="21"/>
        </w:rPr>
        <w:t xml:space="preserve">　濫用規制の対象となる取引条件</w:t>
      </w:r>
    </w:p>
    <w:p w14:paraId="1E08BEEC" w14:textId="77777777" w:rsidR="002972CB" w:rsidRPr="005F6787" w:rsidRDefault="002972CB" w:rsidP="004E4235">
      <w:pPr>
        <w:ind w:firstLineChars="100" w:firstLine="210"/>
        <w:rPr>
          <w:szCs w:val="21"/>
        </w:rPr>
      </w:pPr>
      <w:r w:rsidRPr="005F6787">
        <w:rPr>
          <w:szCs w:val="21"/>
        </w:rPr>
        <w:t xml:space="preserve">GWB19 </w:t>
      </w:r>
      <w:r w:rsidRPr="005F6787">
        <w:rPr>
          <w:szCs w:val="21"/>
        </w:rPr>
        <w:t>条</w:t>
      </w:r>
      <w:r w:rsidR="00D15330" w:rsidRPr="005F6787">
        <w:rPr>
          <w:szCs w:val="21"/>
        </w:rPr>
        <w:t xml:space="preserve"> 2</w:t>
      </w:r>
      <w:r w:rsidRPr="005F6787">
        <w:rPr>
          <w:szCs w:val="21"/>
        </w:rPr>
        <w:t xml:space="preserve"> </w:t>
      </w:r>
      <w:r w:rsidRPr="005F6787">
        <w:rPr>
          <w:szCs w:val="21"/>
        </w:rPr>
        <w:t>項</w:t>
      </w:r>
      <w:r w:rsidR="00D15330" w:rsidRPr="005F6787">
        <w:rPr>
          <w:szCs w:val="21"/>
        </w:rPr>
        <w:t>2</w:t>
      </w:r>
      <w:r w:rsidR="00D15330" w:rsidRPr="005F6787">
        <w:rPr>
          <w:szCs w:val="21"/>
        </w:rPr>
        <w:t>号では</w:t>
      </w:r>
      <w:r w:rsidRPr="005F6787">
        <w:rPr>
          <w:szCs w:val="21"/>
        </w:rPr>
        <w:t>、</w:t>
      </w:r>
      <w:r w:rsidR="00D15330" w:rsidRPr="005F6787">
        <w:rPr>
          <w:szCs w:val="21"/>
        </w:rPr>
        <w:t>「</w:t>
      </w:r>
      <w:r w:rsidR="00D15330" w:rsidRPr="005F6787">
        <w:rPr>
          <w:rFonts w:eastAsia="ＭＳ 明朝"/>
          <w:szCs w:val="21"/>
        </w:rPr>
        <w:t>対価又は他の取引条件について」とあることから、</w:t>
      </w:r>
      <w:r w:rsidRPr="005F6787">
        <w:rPr>
          <w:szCs w:val="21"/>
        </w:rPr>
        <w:t>価格</w:t>
      </w:r>
      <w:r w:rsidR="008A4E2A" w:rsidRPr="005F6787">
        <w:rPr>
          <w:szCs w:val="21"/>
        </w:rPr>
        <w:t>に関する</w:t>
      </w:r>
      <w:r w:rsidRPr="005F6787">
        <w:rPr>
          <w:szCs w:val="21"/>
        </w:rPr>
        <w:t>濫用</w:t>
      </w:r>
      <w:r w:rsidR="008A4E2A" w:rsidRPr="005F6787">
        <w:rPr>
          <w:szCs w:val="21"/>
        </w:rPr>
        <w:t>（＝価格濫用）</w:t>
      </w:r>
      <w:r w:rsidRPr="005F6787">
        <w:rPr>
          <w:szCs w:val="21"/>
        </w:rPr>
        <w:t>と並んで、価格以外の取引条件についての濫用をも禁止してお</w:t>
      </w:r>
      <w:r w:rsidRPr="005F6787">
        <w:rPr>
          <w:szCs w:val="21"/>
        </w:rPr>
        <w:lastRenderedPageBreak/>
        <w:t>り、後者は「条件濫用</w:t>
      </w:r>
      <w:r w:rsidRPr="005F6787">
        <w:rPr>
          <w:szCs w:val="21"/>
        </w:rPr>
        <w:t>(Konditionenmissbrauch)</w:t>
      </w:r>
      <w:r w:rsidRPr="005F6787">
        <w:rPr>
          <w:szCs w:val="21"/>
        </w:rPr>
        <w:t>」と呼ばれている。</w:t>
      </w:r>
    </w:p>
    <w:p w14:paraId="5091169D" w14:textId="77777777" w:rsidR="002972CB" w:rsidRPr="005F6787" w:rsidRDefault="002972CB" w:rsidP="002711B8">
      <w:pPr>
        <w:ind w:firstLineChars="100" w:firstLine="210"/>
        <w:rPr>
          <w:szCs w:val="21"/>
        </w:rPr>
      </w:pPr>
      <w:r w:rsidRPr="005F6787">
        <w:rPr>
          <w:szCs w:val="21"/>
        </w:rPr>
        <w:t>本決定は、</w:t>
      </w:r>
      <w:r w:rsidRPr="005F6787">
        <w:rPr>
          <w:rFonts w:cs="Times New Roman"/>
          <w:szCs w:val="21"/>
        </w:rPr>
        <w:t>FB</w:t>
      </w:r>
      <w:r w:rsidRPr="005F6787">
        <w:rPr>
          <w:rFonts w:cs="Times New Roman"/>
          <w:szCs w:val="21"/>
        </w:rPr>
        <w:t>がユーザーに対し明示しているデータ・ポリシーとクッキー</w:t>
      </w:r>
      <w:r w:rsidR="00FB269B" w:rsidRPr="005F6787">
        <w:rPr>
          <w:rFonts w:cs="Times New Roman"/>
          <w:szCs w:val="21"/>
        </w:rPr>
        <w:t>・</w:t>
      </w:r>
      <w:r w:rsidRPr="005F6787">
        <w:rPr>
          <w:rFonts w:cs="Times New Roman"/>
          <w:szCs w:val="21"/>
        </w:rPr>
        <w:t>ポリシー（</w:t>
      </w:r>
      <w:r w:rsidRPr="005F6787">
        <w:rPr>
          <w:rFonts w:cs="Arial"/>
          <w:szCs w:val="21"/>
          <w:shd w:val="clear" w:color="auto" w:fill="FFFFFF"/>
        </w:rPr>
        <w:t> </w:t>
      </w:r>
      <w:r w:rsidRPr="005F6787">
        <w:rPr>
          <w:rFonts w:cs="Arial"/>
          <w:kern w:val="0"/>
          <w:szCs w:val="21"/>
        </w:rPr>
        <w:t>Daten- und Cookie-Richtlinie</w:t>
      </w:r>
      <w:r w:rsidRPr="005F6787">
        <w:rPr>
          <w:rFonts w:cs="Arial"/>
          <w:kern w:val="0"/>
          <w:szCs w:val="21"/>
        </w:rPr>
        <w:t xml:space="preserve">　</w:t>
      </w:r>
      <w:r w:rsidRPr="005F6787">
        <w:rPr>
          <w:rFonts w:cs="Arial"/>
          <w:szCs w:val="21"/>
          <w:shd w:val="clear" w:color="auto" w:fill="FFFFFF"/>
        </w:rPr>
        <w:t>いわゆる</w:t>
      </w:r>
      <w:r w:rsidRPr="005F6787">
        <w:rPr>
          <w:rFonts w:cs="Times New Roman"/>
          <w:szCs w:val="21"/>
        </w:rPr>
        <w:t>プライバシー・ポリシー＝</w:t>
      </w:r>
      <w:r w:rsidRPr="005F6787">
        <w:rPr>
          <w:rFonts w:cs="Arial"/>
          <w:szCs w:val="21"/>
          <w:shd w:val="clear" w:color="auto" w:fill="FFFFFF"/>
        </w:rPr>
        <w:t>個人情報保護方針）が示している利用条件は、</w:t>
      </w:r>
      <w:r w:rsidRPr="005F6787">
        <w:rPr>
          <w:rFonts w:cs="Arial"/>
          <w:szCs w:val="21"/>
          <w:shd w:val="clear" w:color="auto" w:fill="FFFFFF"/>
        </w:rPr>
        <w:t>GWB19</w:t>
      </w:r>
      <w:r w:rsidRPr="005F6787">
        <w:rPr>
          <w:rFonts w:cs="Arial"/>
          <w:szCs w:val="21"/>
          <w:shd w:val="clear" w:color="auto" w:fill="FFFFFF"/>
        </w:rPr>
        <w:t>条</w:t>
      </w:r>
      <w:r w:rsidR="00426BE7" w:rsidRPr="005F6787">
        <w:rPr>
          <w:rFonts w:cs="Arial"/>
          <w:szCs w:val="21"/>
          <w:shd w:val="clear" w:color="auto" w:fill="FFFFFF"/>
        </w:rPr>
        <w:t>2</w:t>
      </w:r>
      <w:r w:rsidR="00426BE7" w:rsidRPr="005F6787">
        <w:rPr>
          <w:rFonts w:cs="Arial"/>
          <w:szCs w:val="21"/>
          <w:shd w:val="clear" w:color="auto" w:fill="FFFFFF"/>
        </w:rPr>
        <w:t>項</w:t>
      </w:r>
      <w:r w:rsidRPr="005F6787">
        <w:rPr>
          <w:rFonts w:cs="Arial"/>
          <w:szCs w:val="21"/>
          <w:shd w:val="clear" w:color="auto" w:fill="FFFFFF"/>
        </w:rPr>
        <w:t>における取引条件</w:t>
      </w:r>
      <w:r w:rsidRPr="005F6787">
        <w:rPr>
          <w:rFonts w:cs="Times New Roman"/>
          <w:szCs w:val="21"/>
        </w:rPr>
        <w:t>（</w:t>
      </w:r>
      <w:r w:rsidRPr="005F6787">
        <w:rPr>
          <w:rFonts w:cs="Arial"/>
          <w:kern w:val="0"/>
          <w:szCs w:val="21"/>
        </w:rPr>
        <w:t>Geschäftsbedingungen</w:t>
      </w:r>
      <w:r w:rsidRPr="005F6787">
        <w:rPr>
          <w:rFonts w:cs="Arial"/>
          <w:kern w:val="0"/>
          <w:szCs w:val="21"/>
        </w:rPr>
        <w:t>）</w:t>
      </w:r>
      <w:r w:rsidRPr="005F6787">
        <w:rPr>
          <w:rFonts w:cs="Arial"/>
          <w:szCs w:val="21"/>
          <w:shd w:val="clear" w:color="auto" w:fill="FFFFFF"/>
        </w:rPr>
        <w:t>に当たるとする。</w:t>
      </w:r>
    </w:p>
    <w:p w14:paraId="691D5C53" w14:textId="77777777" w:rsidR="002972CB" w:rsidRPr="005F6787" w:rsidRDefault="002972CB" w:rsidP="007923C1">
      <w:pPr>
        <w:ind w:firstLineChars="100" w:firstLine="210"/>
        <w:rPr>
          <w:rFonts w:cs="Times New Roman"/>
          <w:szCs w:val="21"/>
        </w:rPr>
      </w:pPr>
      <w:r w:rsidRPr="005F6787">
        <w:rPr>
          <w:rFonts w:cs="Times New Roman"/>
          <w:szCs w:val="21"/>
        </w:rPr>
        <w:t>「</w:t>
      </w:r>
      <w:r w:rsidRPr="005F6787">
        <w:rPr>
          <w:rFonts w:cs="Times New Roman"/>
          <w:szCs w:val="21"/>
        </w:rPr>
        <w:t>FB</w:t>
      </w:r>
      <w:r w:rsidRPr="005F6787">
        <w:rPr>
          <w:rFonts w:cs="Times New Roman"/>
          <w:szCs w:val="21"/>
        </w:rPr>
        <w:t>の見解に反して，データ</w:t>
      </w:r>
      <w:r w:rsidR="00FB269B" w:rsidRPr="005F6787">
        <w:rPr>
          <w:rFonts w:cs="Times New Roman"/>
          <w:szCs w:val="21"/>
        </w:rPr>
        <w:t>・ポリシー</w:t>
      </w:r>
      <w:r w:rsidR="006262A1" w:rsidRPr="005F6787">
        <w:rPr>
          <w:rFonts w:cs="Times New Roman"/>
          <w:szCs w:val="21"/>
        </w:rPr>
        <w:t>及び</w:t>
      </w:r>
      <w:r w:rsidRPr="005F6787">
        <w:rPr>
          <w:rFonts w:cs="Times New Roman"/>
          <w:szCs w:val="21"/>
        </w:rPr>
        <w:t>クッキー</w:t>
      </w:r>
      <w:r w:rsidR="006262A1" w:rsidRPr="005F6787">
        <w:rPr>
          <w:rFonts w:cs="Times New Roman"/>
          <w:szCs w:val="21"/>
        </w:rPr>
        <w:t>・</w:t>
      </w:r>
      <w:r w:rsidRPr="005F6787">
        <w:rPr>
          <w:rFonts w:cs="Times New Roman"/>
          <w:szCs w:val="21"/>
        </w:rPr>
        <w:t>ポリシーに関連した利用条件は，</w:t>
      </w:r>
      <w:r w:rsidRPr="005F6787">
        <w:rPr>
          <w:rFonts w:cs="Times New Roman"/>
          <w:szCs w:val="21"/>
        </w:rPr>
        <w:t>19</w:t>
      </w:r>
      <w:r w:rsidRPr="005F6787">
        <w:rPr>
          <w:rFonts w:cs="Times New Roman"/>
          <w:szCs w:val="21"/>
        </w:rPr>
        <w:t>条の意味での取引条件である。データ</w:t>
      </w:r>
      <w:r w:rsidR="00FB269B" w:rsidRPr="005F6787">
        <w:rPr>
          <w:rFonts w:cs="Times New Roman"/>
          <w:szCs w:val="21"/>
        </w:rPr>
        <w:t>・ポリシー</w:t>
      </w:r>
      <w:r w:rsidR="006262A1" w:rsidRPr="005F6787">
        <w:rPr>
          <w:rFonts w:cs="Times New Roman"/>
          <w:szCs w:val="21"/>
        </w:rPr>
        <w:t>及び</w:t>
      </w:r>
      <w:r w:rsidRPr="005F6787">
        <w:rPr>
          <w:rFonts w:cs="Times New Roman"/>
          <w:szCs w:val="21"/>
        </w:rPr>
        <w:t>クッキー</w:t>
      </w:r>
      <w:r w:rsidR="006262A1" w:rsidRPr="005F6787">
        <w:rPr>
          <w:rFonts w:cs="Times New Roman"/>
          <w:szCs w:val="21"/>
        </w:rPr>
        <w:t>・</w:t>
      </w:r>
      <w:r w:rsidRPr="005F6787">
        <w:rPr>
          <w:rFonts w:cs="Times New Roman"/>
          <w:szCs w:val="21"/>
        </w:rPr>
        <w:t>ポリシーの説明は，利用規約のポイント</w:t>
      </w:r>
      <w:r w:rsidRPr="005F6787">
        <w:rPr>
          <w:rFonts w:cs="Times New Roman"/>
          <w:szCs w:val="21"/>
        </w:rPr>
        <w:t>2</w:t>
      </w:r>
      <w:r w:rsidRPr="005F6787">
        <w:rPr>
          <w:rFonts w:cs="Times New Roman"/>
          <w:szCs w:val="21"/>
        </w:rPr>
        <w:t>（舟田注：「ポイント</w:t>
      </w:r>
      <w:r w:rsidRPr="005F6787">
        <w:rPr>
          <w:rFonts w:cs="Times New Roman"/>
          <w:szCs w:val="21"/>
        </w:rPr>
        <w:t>2</w:t>
      </w:r>
      <w:r w:rsidRPr="005F6787">
        <w:rPr>
          <w:rFonts w:cs="Times New Roman"/>
          <w:szCs w:val="21"/>
        </w:rPr>
        <w:t>」として、</w:t>
      </w:r>
      <w:r w:rsidRPr="005F6787">
        <w:rPr>
          <w:rFonts w:cs="Times New Roman"/>
          <w:szCs w:val="21"/>
        </w:rPr>
        <w:t>Rn.94,138</w:t>
      </w:r>
      <w:r w:rsidRPr="005F6787">
        <w:rPr>
          <w:rFonts w:cs="Times New Roman"/>
          <w:szCs w:val="21"/>
        </w:rPr>
        <w:t>等に</w:t>
      </w:r>
      <w:r w:rsidRPr="005F6787">
        <w:rPr>
          <w:rFonts w:cs="Times New Roman"/>
          <w:szCs w:val="21"/>
        </w:rPr>
        <w:t>FB</w:t>
      </w:r>
      <w:r w:rsidRPr="005F6787">
        <w:rPr>
          <w:rFonts w:cs="Times New Roman"/>
          <w:szCs w:val="21"/>
        </w:rPr>
        <w:t>のポリシーが引用されている）を具体化している。データ保護法上の透明性の要請は，データ処理に関する情報をデータ</w:t>
      </w:r>
      <w:r w:rsidR="00FB269B" w:rsidRPr="005F6787">
        <w:rPr>
          <w:rFonts w:cs="Times New Roman"/>
          <w:szCs w:val="21"/>
        </w:rPr>
        <w:t>・</w:t>
      </w:r>
      <w:r w:rsidRPr="005F6787">
        <w:rPr>
          <w:rFonts w:cs="Times New Roman"/>
          <w:szCs w:val="21"/>
        </w:rPr>
        <w:t>ポリシーの形式で提供することを当事者に義務付けるものであり，取引条件の性格を何ら変えるものではない」（</w:t>
      </w:r>
      <w:r w:rsidRPr="005F6787">
        <w:rPr>
          <w:rFonts w:cs="Times New Roman"/>
          <w:szCs w:val="21"/>
        </w:rPr>
        <w:t>Rn.561</w:t>
      </w:r>
      <w:r w:rsidRPr="005F6787">
        <w:rPr>
          <w:rFonts w:cs="Times New Roman"/>
          <w:szCs w:val="21"/>
        </w:rPr>
        <w:t>）。</w:t>
      </w:r>
    </w:p>
    <w:p w14:paraId="266BCD72" w14:textId="77777777" w:rsidR="002972CB" w:rsidRPr="005F6787" w:rsidRDefault="002972CB" w:rsidP="007923C1">
      <w:pPr>
        <w:ind w:firstLineChars="100" w:firstLine="210"/>
        <w:rPr>
          <w:rFonts w:cs="Times New Roman"/>
          <w:szCs w:val="21"/>
        </w:rPr>
      </w:pPr>
      <w:r w:rsidRPr="005F6787">
        <w:rPr>
          <w:rFonts w:cs="Arial"/>
          <w:szCs w:val="21"/>
          <w:shd w:val="clear" w:color="auto" w:fill="FFFFFF"/>
        </w:rPr>
        <w:t>「</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w:t>
      </w:r>
      <w:r w:rsidRPr="005F6787">
        <w:rPr>
          <w:rFonts w:cs="Times New Roman"/>
          <w:szCs w:val="21"/>
        </w:rPr>
        <w:t>2</w:t>
      </w:r>
      <w:r w:rsidRPr="005F6787">
        <w:rPr>
          <w:rFonts w:cs="Times New Roman"/>
          <w:szCs w:val="21"/>
        </w:rPr>
        <w:t>項</w:t>
      </w:r>
      <w:r w:rsidRPr="005F6787">
        <w:rPr>
          <w:rFonts w:cs="Times New Roman"/>
          <w:szCs w:val="21"/>
        </w:rPr>
        <w:t>2</w:t>
      </w:r>
      <w:r w:rsidRPr="005F6787">
        <w:rPr>
          <w:rFonts w:cs="Times New Roman"/>
          <w:szCs w:val="21"/>
        </w:rPr>
        <w:t>及び</w:t>
      </w:r>
      <w:r w:rsidRPr="005F6787">
        <w:rPr>
          <w:rFonts w:cs="Times New Roman"/>
          <w:szCs w:val="21"/>
        </w:rPr>
        <w:t>3</w:t>
      </w:r>
      <w:r w:rsidRPr="005F6787">
        <w:rPr>
          <w:rFonts w:cs="Times New Roman"/>
          <w:szCs w:val="21"/>
        </w:rPr>
        <w:t>号で</w:t>
      </w:r>
      <w:r w:rsidR="00FB269B" w:rsidRPr="005F6787">
        <w:rPr>
          <w:rFonts w:cs="Times New Roman"/>
          <w:szCs w:val="21"/>
        </w:rPr>
        <w:t>用い</w:t>
      </w:r>
      <w:r w:rsidRPr="005F6787">
        <w:rPr>
          <w:rFonts w:cs="Times New Roman"/>
          <w:szCs w:val="21"/>
        </w:rPr>
        <w:t>られている取引条件概念は，価格形成と並んで、力の不均衡によって特徴付けられる供給者と需要者の関係全体を濫用禁止の下におくため，広く解釈されなければならない。」（</w:t>
      </w:r>
      <w:r w:rsidRPr="005F6787">
        <w:rPr>
          <w:rFonts w:cs="Times New Roman"/>
          <w:szCs w:val="21"/>
        </w:rPr>
        <w:t>Rn.562</w:t>
      </w:r>
      <w:r w:rsidRPr="005F6787">
        <w:rPr>
          <w:rFonts w:cs="Times New Roman"/>
          <w:szCs w:val="21"/>
        </w:rPr>
        <w:t>）。</w:t>
      </w:r>
    </w:p>
    <w:p w14:paraId="10B55A78" w14:textId="77777777" w:rsidR="002972CB" w:rsidRPr="005F6787" w:rsidRDefault="002972CB" w:rsidP="006B3D2D">
      <w:pPr>
        <w:autoSpaceDE w:val="0"/>
        <w:autoSpaceDN w:val="0"/>
        <w:adjustRightInd w:val="0"/>
        <w:ind w:firstLineChars="100" w:firstLine="210"/>
        <w:jc w:val="left"/>
        <w:rPr>
          <w:rFonts w:cs="Times New Roman"/>
          <w:szCs w:val="21"/>
        </w:rPr>
      </w:pPr>
      <w:r w:rsidRPr="005F6787">
        <w:rPr>
          <w:rFonts w:cs="Times New Roman"/>
          <w:szCs w:val="21"/>
        </w:rPr>
        <w:t>「取引条件（</w:t>
      </w:r>
      <w:r w:rsidRPr="005F6787">
        <w:rPr>
          <w:rFonts w:cs="Arial"/>
          <w:kern w:val="0"/>
          <w:szCs w:val="21"/>
        </w:rPr>
        <w:t>Geschäftsbedingung</w:t>
      </w:r>
      <w:r w:rsidRPr="005F6787">
        <w:rPr>
          <w:rFonts w:cs="Arial"/>
          <w:kern w:val="0"/>
          <w:szCs w:val="21"/>
        </w:rPr>
        <w:t>）</w:t>
      </w:r>
      <w:r w:rsidRPr="005F6787">
        <w:rPr>
          <w:rFonts w:cs="Times New Roman"/>
          <w:szCs w:val="21"/>
        </w:rPr>
        <w:t>という概念には，まず、明示的に規制される拘束条件（</w:t>
      </w:r>
      <w:r w:rsidRPr="005F6787">
        <w:rPr>
          <w:rFonts w:cs="Arial"/>
          <w:kern w:val="0"/>
          <w:szCs w:val="21"/>
        </w:rPr>
        <w:t>die ausdrücklich geregelten Bedingungen</w:t>
      </w:r>
      <w:r w:rsidRPr="005F6787">
        <w:rPr>
          <w:rFonts w:cs="Arial"/>
          <w:kern w:val="0"/>
          <w:szCs w:val="21"/>
        </w:rPr>
        <w:t>）、すなわち、</w:t>
      </w:r>
      <w:r w:rsidRPr="005F6787">
        <w:rPr>
          <w:rFonts w:cs="Times New Roman"/>
          <w:szCs w:val="21"/>
        </w:rPr>
        <w:t>需要者がそれに同意しなければならず，それによって契約による規制の対象となる条件、が含まれる。またこれに加え，需要者の同意なしに実行される事実上の取引条件も含まれる。これには，契約上の規制の対象となり得る、すべての事実上の事象（</w:t>
      </w:r>
      <w:r w:rsidRPr="005F6787">
        <w:rPr>
          <w:rFonts w:cs="Arial"/>
          <w:kern w:val="0"/>
          <w:szCs w:val="21"/>
        </w:rPr>
        <w:t>tatsächlichen Vorgänge</w:t>
      </w:r>
      <w:r w:rsidRPr="005F6787">
        <w:rPr>
          <w:rFonts w:cs="Arial"/>
          <w:kern w:val="0"/>
          <w:szCs w:val="21"/>
        </w:rPr>
        <w:t>）</w:t>
      </w:r>
      <w:r w:rsidRPr="005F6787">
        <w:rPr>
          <w:rFonts w:cs="Times New Roman"/>
          <w:szCs w:val="21"/>
        </w:rPr>
        <w:t>が含まれる」（</w:t>
      </w:r>
      <w:r w:rsidRPr="005F6787">
        <w:rPr>
          <w:rFonts w:cs="Times New Roman"/>
          <w:szCs w:val="21"/>
        </w:rPr>
        <w:t>Rn.563</w:t>
      </w:r>
      <w:r w:rsidRPr="005F6787">
        <w:rPr>
          <w:rFonts w:cs="Times New Roman"/>
          <w:szCs w:val="21"/>
        </w:rPr>
        <w:t>）。</w:t>
      </w:r>
    </w:p>
    <w:p w14:paraId="185C6F15" w14:textId="77777777" w:rsidR="002972CB" w:rsidRPr="005F6787" w:rsidRDefault="002972CB" w:rsidP="006B3D2D">
      <w:pPr>
        <w:rPr>
          <w:rFonts w:cs="Times New Roman"/>
          <w:szCs w:val="21"/>
        </w:rPr>
      </w:pPr>
      <w:r w:rsidRPr="005F6787">
        <w:rPr>
          <w:rFonts w:cs="Times New Roman"/>
          <w:szCs w:val="21"/>
        </w:rPr>
        <w:t xml:space="preserve">　「</w:t>
      </w:r>
      <w:r w:rsidRPr="005F6787">
        <w:rPr>
          <w:rFonts w:cs="Times New Roman"/>
          <w:szCs w:val="21"/>
        </w:rPr>
        <w:t>Facebook</w:t>
      </w:r>
      <w:r w:rsidRPr="005F6787">
        <w:rPr>
          <w:rFonts w:cs="Times New Roman"/>
          <w:szCs w:val="21"/>
        </w:rPr>
        <w:t>の見解とは異なり，手続きの対象となるデータ処理に関する事象（</w:t>
      </w:r>
      <w:r w:rsidRPr="005F6787">
        <w:rPr>
          <w:rFonts w:cs="Arial"/>
          <w:kern w:val="0"/>
          <w:szCs w:val="21"/>
        </w:rPr>
        <w:t>Datenverarbeitungsvorgänge</w:t>
      </w:r>
      <w:r w:rsidRPr="005F6787">
        <w:rPr>
          <w:rFonts w:cs="Arial"/>
          <w:kern w:val="0"/>
          <w:szCs w:val="21"/>
        </w:rPr>
        <w:t>）</w:t>
      </w:r>
      <w:r w:rsidRPr="005F6787">
        <w:rPr>
          <w:rFonts w:cs="Times New Roman"/>
          <w:szCs w:val="21"/>
        </w:rPr>
        <w:t>は，すべて契約上の取り決めの一部となる。ユーザーはサービスを利用する前に利用条件に同意しなければならないからである」（</w:t>
      </w:r>
      <w:r w:rsidRPr="005F6787">
        <w:rPr>
          <w:rFonts w:cs="Times New Roman"/>
          <w:szCs w:val="21"/>
        </w:rPr>
        <w:t>Rn.563</w:t>
      </w:r>
      <w:r w:rsidRPr="005F6787">
        <w:rPr>
          <w:rFonts w:cs="Times New Roman"/>
          <w:szCs w:val="21"/>
        </w:rPr>
        <w:t>）。</w:t>
      </w:r>
    </w:p>
    <w:p w14:paraId="2D1E4907" w14:textId="77777777" w:rsidR="002972CB" w:rsidRPr="005F6787" w:rsidRDefault="002972CB" w:rsidP="002711B8">
      <w:pPr>
        <w:ind w:firstLineChars="100" w:firstLine="210"/>
        <w:rPr>
          <w:rFonts w:cs="Times New Roman"/>
          <w:szCs w:val="21"/>
        </w:rPr>
      </w:pPr>
      <w:r w:rsidRPr="005F6787">
        <w:rPr>
          <w:rFonts w:cs="Times New Roman"/>
          <w:szCs w:val="21"/>
        </w:rPr>
        <w:t>上に引用した本決定の立場は、濫用規制の対象となる取引条件を、</w:t>
      </w:r>
      <w:r w:rsidRPr="005F6787">
        <w:rPr>
          <w:szCs w:val="21"/>
        </w:rPr>
        <w:t>契約上の条件になるか否かを問わず</w:t>
      </w:r>
      <w:r w:rsidRPr="005F6787">
        <w:rPr>
          <w:rFonts w:cs="Times New Roman"/>
          <w:szCs w:val="21"/>
        </w:rPr>
        <w:t>広く解することによって、事実上の行為も含むということを意味している。学説も同様であり、上の引用文には、</w:t>
      </w:r>
      <w:r w:rsidRPr="005F6787">
        <w:rPr>
          <w:rFonts w:cs="Times New Roman"/>
          <w:szCs w:val="21"/>
        </w:rPr>
        <w:t>GWB</w:t>
      </w:r>
      <w:r w:rsidRPr="005F6787">
        <w:rPr>
          <w:rFonts w:cs="Times New Roman"/>
          <w:szCs w:val="21"/>
        </w:rPr>
        <w:t>の標準的なコンメンタールを参照との注も付いている。</w:t>
      </w:r>
    </w:p>
    <w:p w14:paraId="7DE4678F" w14:textId="77777777" w:rsidR="002972CB" w:rsidRPr="005F6787" w:rsidRDefault="002972CB" w:rsidP="002711B8">
      <w:pPr>
        <w:ind w:firstLineChars="100" w:firstLine="210"/>
        <w:rPr>
          <w:szCs w:val="21"/>
        </w:rPr>
      </w:pPr>
      <w:r w:rsidRPr="005F6787">
        <w:rPr>
          <w:rFonts w:cs="Times New Roman"/>
          <w:szCs w:val="21"/>
        </w:rPr>
        <w:t>例えば、</w:t>
      </w:r>
      <w:r w:rsidRPr="005F6787">
        <w:rPr>
          <w:szCs w:val="21"/>
        </w:rPr>
        <w:t>日本の優越的地位濫用の事案においては、大規模小売業者が要請し、</w:t>
      </w:r>
      <w:r w:rsidR="00FB269B" w:rsidRPr="005F6787">
        <w:rPr>
          <w:szCs w:val="21"/>
        </w:rPr>
        <w:t>納入業者が</w:t>
      </w:r>
      <w:r w:rsidRPr="005F6787">
        <w:rPr>
          <w:szCs w:val="21"/>
        </w:rPr>
        <w:t>それに応えて行われる、形式的には納入業者の一方的な行為</w:t>
      </w:r>
      <w:r w:rsidRPr="005F6787">
        <w:rPr>
          <w:szCs w:val="21"/>
        </w:rPr>
        <w:t>(</w:t>
      </w:r>
      <w:r w:rsidRPr="005F6787">
        <w:rPr>
          <w:szCs w:val="21"/>
        </w:rPr>
        <w:t>例えば、従業員の派遣が納入業者の負担の下に行われる</w:t>
      </w:r>
      <w:r w:rsidRPr="005F6787">
        <w:rPr>
          <w:szCs w:val="21"/>
        </w:rPr>
        <w:t>)</w:t>
      </w:r>
      <w:r w:rsidRPr="005F6787">
        <w:rPr>
          <w:szCs w:val="21"/>
        </w:rPr>
        <w:t>も多くみられ、この場合も優越的地位濫用規制の対象となるが、ドイツ</w:t>
      </w:r>
      <w:r w:rsidRPr="005F6787">
        <w:rPr>
          <w:szCs w:val="21"/>
        </w:rPr>
        <w:t>GWB</w:t>
      </w:r>
      <w:r w:rsidRPr="005F6787">
        <w:rPr>
          <w:szCs w:val="21"/>
        </w:rPr>
        <w:t>でも上の解釈によって同じことになる。</w:t>
      </w:r>
    </w:p>
    <w:p w14:paraId="3E65C6DF" w14:textId="77777777" w:rsidR="002972CB" w:rsidRPr="005F6787" w:rsidRDefault="002972CB" w:rsidP="002711B8">
      <w:pPr>
        <w:ind w:firstLineChars="100" w:firstLine="210"/>
        <w:rPr>
          <w:rFonts w:cs="Times New Roman"/>
          <w:szCs w:val="21"/>
        </w:rPr>
      </w:pPr>
      <w:r w:rsidRPr="005F6787">
        <w:rPr>
          <w:szCs w:val="21"/>
        </w:rPr>
        <w:t>FB</w:t>
      </w:r>
      <w:r w:rsidRPr="005F6787">
        <w:rPr>
          <w:szCs w:val="21"/>
        </w:rPr>
        <w:t>と個人ユーザーの関係も、また日本の優越的地位濫用の事案における大規模小売業者と納入業者の関係も、すべてが契約によって契約条件として定められるわけではなく、事実行為（本決定における</w:t>
      </w:r>
      <w:r w:rsidR="000E3450" w:rsidRPr="005F6787">
        <w:rPr>
          <w:szCs w:val="21"/>
        </w:rPr>
        <w:t>前記の、</w:t>
      </w:r>
      <w:r w:rsidRPr="005F6787">
        <w:rPr>
          <w:rFonts w:cs="Times New Roman"/>
          <w:szCs w:val="21"/>
        </w:rPr>
        <w:t>事実上の</w:t>
      </w:r>
      <w:r w:rsidR="000E3450" w:rsidRPr="005F6787">
        <w:rPr>
          <w:rFonts w:cs="Times New Roman"/>
          <w:szCs w:val="21"/>
        </w:rPr>
        <w:t>「データ処理に関する</w:t>
      </w:r>
      <w:r w:rsidRPr="005F6787">
        <w:rPr>
          <w:rFonts w:cs="Times New Roman"/>
          <w:szCs w:val="21"/>
        </w:rPr>
        <w:t>事象」）についても、市場支配的地位または優越的地位を背景とした濫用があり得るという実態から、濫用規制にお</w:t>
      </w:r>
      <w:r w:rsidRPr="005F6787">
        <w:rPr>
          <w:rFonts w:cs="Times New Roman"/>
          <w:szCs w:val="21"/>
        </w:rPr>
        <w:lastRenderedPageBreak/>
        <w:t>いては、このような広い解釈が要請されると考えられる</w:t>
      </w:r>
      <w:r w:rsidR="005D3BA9" w:rsidRPr="005F6787">
        <w:rPr>
          <w:rStyle w:val="ad"/>
          <w:rFonts w:cs="Times New Roman"/>
          <w:szCs w:val="21"/>
        </w:rPr>
        <w:footnoteReference w:id="13"/>
      </w:r>
      <w:r w:rsidRPr="005F6787">
        <w:rPr>
          <w:rFonts w:cs="Times New Roman"/>
          <w:szCs w:val="21"/>
        </w:rPr>
        <w:t>。</w:t>
      </w:r>
    </w:p>
    <w:p w14:paraId="618B1E78" w14:textId="77777777" w:rsidR="005C1302" w:rsidRPr="005F6787" w:rsidRDefault="005C1302" w:rsidP="002711B8">
      <w:pPr>
        <w:ind w:firstLineChars="100" w:firstLine="210"/>
        <w:rPr>
          <w:szCs w:val="21"/>
        </w:rPr>
      </w:pPr>
    </w:p>
    <w:p w14:paraId="311CCA0C" w14:textId="77777777" w:rsidR="002972CB" w:rsidRPr="005F6787" w:rsidRDefault="002972CB" w:rsidP="002711B8">
      <w:pPr>
        <w:ind w:firstLineChars="100" w:firstLine="210"/>
        <w:rPr>
          <w:szCs w:val="21"/>
        </w:rPr>
      </w:pPr>
    </w:p>
    <w:p w14:paraId="387FE9C7" w14:textId="77777777" w:rsidR="002972CB" w:rsidRPr="005F6787" w:rsidRDefault="006262A1" w:rsidP="004E4235">
      <w:pPr>
        <w:pStyle w:val="2"/>
        <w:rPr>
          <w:rFonts w:asciiTheme="minorHAnsi" w:eastAsiaTheme="minorEastAsia" w:hAnsiTheme="minorHAnsi"/>
          <w:b/>
          <w:szCs w:val="21"/>
        </w:rPr>
      </w:pPr>
      <w:r w:rsidRPr="005F6787">
        <w:rPr>
          <w:rFonts w:asciiTheme="minorHAnsi" w:eastAsiaTheme="minorEastAsia" w:hAnsiTheme="minorHAnsi"/>
          <w:b/>
          <w:szCs w:val="21"/>
        </w:rPr>
        <w:t>(3</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対価と取引条件</w:t>
      </w:r>
    </w:p>
    <w:p w14:paraId="1E3852B5" w14:textId="77777777" w:rsidR="002972CB" w:rsidRPr="005F6787" w:rsidRDefault="00426BE7" w:rsidP="002711B8">
      <w:pPr>
        <w:ind w:firstLineChars="100" w:firstLine="210"/>
        <w:rPr>
          <w:szCs w:val="21"/>
        </w:rPr>
      </w:pPr>
      <w:r w:rsidRPr="005F6787">
        <w:rPr>
          <w:szCs w:val="21"/>
        </w:rPr>
        <w:t>上記のように、</w:t>
      </w:r>
      <w:r w:rsidR="002972CB" w:rsidRPr="005F6787">
        <w:rPr>
          <w:szCs w:val="21"/>
        </w:rPr>
        <w:t>本決定は、本件の</w:t>
      </w:r>
      <w:r w:rsidRPr="005F6787">
        <w:rPr>
          <w:szCs w:val="21"/>
        </w:rPr>
        <w:t>FB</w:t>
      </w:r>
      <w:r w:rsidRPr="005F6787">
        <w:rPr>
          <w:szCs w:val="21"/>
        </w:rPr>
        <w:t>による</w:t>
      </w:r>
      <w:r w:rsidR="002972CB" w:rsidRPr="005F6787">
        <w:rPr>
          <w:szCs w:val="21"/>
        </w:rPr>
        <w:t>、</w:t>
      </w:r>
      <w:r w:rsidR="002972CB" w:rsidRPr="005F6787">
        <w:rPr>
          <w:rFonts w:cs="Arial"/>
          <w:kern w:val="0"/>
          <w:szCs w:val="21"/>
        </w:rPr>
        <w:t>データ提供</w:t>
      </w:r>
      <w:r w:rsidR="002972CB" w:rsidRPr="005F6787">
        <w:rPr>
          <w:szCs w:val="21"/>
        </w:rPr>
        <w:t>についての規制は、</w:t>
      </w:r>
      <w:r w:rsidR="002972CB" w:rsidRPr="005F6787">
        <w:rPr>
          <w:szCs w:val="21"/>
        </w:rPr>
        <w:t>19</w:t>
      </w:r>
      <w:r w:rsidR="002972CB" w:rsidRPr="005F6787">
        <w:rPr>
          <w:szCs w:val="21"/>
        </w:rPr>
        <w:t>条</w:t>
      </w:r>
      <w:r w:rsidR="002972CB" w:rsidRPr="005F6787">
        <w:rPr>
          <w:szCs w:val="21"/>
        </w:rPr>
        <w:t>1</w:t>
      </w:r>
      <w:r w:rsidR="002972CB" w:rsidRPr="005F6787">
        <w:rPr>
          <w:szCs w:val="21"/>
        </w:rPr>
        <w:t>項及び</w:t>
      </w:r>
      <w:r w:rsidR="002972CB" w:rsidRPr="005F6787">
        <w:rPr>
          <w:szCs w:val="21"/>
        </w:rPr>
        <w:t>2</w:t>
      </w:r>
      <w:r w:rsidR="002B3BCF" w:rsidRPr="005F6787">
        <w:rPr>
          <w:szCs w:val="21"/>
        </w:rPr>
        <w:t>項</w:t>
      </w:r>
      <w:r w:rsidR="002972CB" w:rsidRPr="005F6787">
        <w:rPr>
          <w:szCs w:val="21"/>
        </w:rPr>
        <w:t>2</w:t>
      </w:r>
      <w:r w:rsidR="002972CB" w:rsidRPr="005F6787">
        <w:rPr>
          <w:szCs w:val="21"/>
        </w:rPr>
        <w:t>号・</w:t>
      </w:r>
      <w:r w:rsidR="002972CB" w:rsidRPr="005F6787">
        <w:rPr>
          <w:szCs w:val="21"/>
        </w:rPr>
        <w:t>3</w:t>
      </w:r>
      <w:r w:rsidR="002972CB" w:rsidRPr="005F6787">
        <w:rPr>
          <w:szCs w:val="21"/>
        </w:rPr>
        <w:t>号の意味での対価ではなく，取引条件に関する規制であるとする。</w:t>
      </w:r>
    </w:p>
    <w:p w14:paraId="71C9B44E" w14:textId="77777777" w:rsidR="002972CB" w:rsidRPr="005F6787" w:rsidRDefault="002972CB" w:rsidP="002711B8">
      <w:pPr>
        <w:ind w:firstLineChars="100" w:firstLine="210"/>
        <w:rPr>
          <w:rFonts w:cs="Times New Roman"/>
          <w:szCs w:val="21"/>
        </w:rPr>
      </w:pPr>
      <w:r w:rsidRPr="005F6787">
        <w:rPr>
          <w:szCs w:val="21"/>
        </w:rPr>
        <w:t>「</w:t>
      </w:r>
      <w:r w:rsidRPr="005F6787">
        <w:rPr>
          <w:rFonts w:cs="Times New Roman"/>
          <w:szCs w:val="21"/>
        </w:rPr>
        <w:t>データ提供が対価と類似する機能を持ち得るということは，データ処理条件が</w:t>
      </w:r>
      <w:r w:rsidRPr="005F6787">
        <w:rPr>
          <w:rFonts w:cs="Times New Roman"/>
          <w:szCs w:val="21"/>
        </w:rPr>
        <w:t>GWB19</w:t>
      </w:r>
      <w:r w:rsidRPr="005F6787">
        <w:rPr>
          <w:rFonts w:cs="Times New Roman"/>
          <w:szCs w:val="21"/>
        </w:rPr>
        <w:t>条</w:t>
      </w:r>
      <w:r w:rsidRPr="005F6787">
        <w:rPr>
          <w:rFonts w:cs="Times New Roman"/>
          <w:szCs w:val="21"/>
        </w:rPr>
        <w:t>2</w:t>
      </w:r>
      <w:r w:rsidRPr="005F6787">
        <w:rPr>
          <w:rFonts w:cs="Times New Roman"/>
          <w:szCs w:val="21"/>
        </w:rPr>
        <w:t>項</w:t>
      </w:r>
      <w:r w:rsidRPr="005F6787">
        <w:rPr>
          <w:rFonts w:cs="Times New Roman"/>
          <w:szCs w:val="21"/>
        </w:rPr>
        <w:t>2</w:t>
      </w:r>
      <w:r w:rsidRPr="005F6787">
        <w:rPr>
          <w:rFonts w:cs="Times New Roman"/>
          <w:szCs w:val="21"/>
        </w:rPr>
        <w:t>号及び</w:t>
      </w:r>
      <w:r w:rsidRPr="005F6787">
        <w:rPr>
          <w:rFonts w:cs="Times New Roman"/>
          <w:szCs w:val="21"/>
        </w:rPr>
        <w:t>3</w:t>
      </w:r>
      <w:r w:rsidRPr="005F6787">
        <w:rPr>
          <w:rFonts w:cs="Times New Roman"/>
          <w:szCs w:val="21"/>
        </w:rPr>
        <w:t>項の意味での価格（</w:t>
      </w:r>
      <w:r w:rsidRPr="005F6787">
        <w:rPr>
          <w:rFonts w:cs="Arial"/>
          <w:kern w:val="0"/>
          <w:szCs w:val="21"/>
        </w:rPr>
        <w:t>Preise</w:t>
      </w:r>
      <w:r w:rsidRPr="005F6787">
        <w:rPr>
          <w:rFonts w:cs="Arial"/>
          <w:kern w:val="0"/>
          <w:szCs w:val="21"/>
        </w:rPr>
        <w:t>）</w:t>
      </w:r>
      <w:r w:rsidRPr="005F6787">
        <w:rPr>
          <w:rFonts w:cs="Times New Roman"/>
          <w:szCs w:val="21"/>
        </w:rPr>
        <w:t>と見なされるべきであるという事実につながらない」（</w:t>
      </w:r>
      <w:r w:rsidRPr="005F6787">
        <w:rPr>
          <w:rFonts w:cs="Times New Roman"/>
          <w:szCs w:val="21"/>
        </w:rPr>
        <w:t>Rn.569</w:t>
      </w:r>
      <w:r w:rsidRPr="005F6787">
        <w:rPr>
          <w:rFonts w:cs="Times New Roman"/>
          <w:szCs w:val="21"/>
        </w:rPr>
        <w:t>）。</w:t>
      </w:r>
    </w:p>
    <w:p w14:paraId="62170A45" w14:textId="77777777" w:rsidR="002972CB" w:rsidRPr="005F6787" w:rsidRDefault="002972CB" w:rsidP="009D755F">
      <w:pPr>
        <w:ind w:firstLineChars="100" w:firstLine="210"/>
        <w:rPr>
          <w:rFonts w:cs="Times New Roman"/>
          <w:szCs w:val="21"/>
        </w:rPr>
      </w:pPr>
      <w:r w:rsidRPr="005F6787">
        <w:rPr>
          <w:szCs w:val="21"/>
        </w:rPr>
        <w:t>「</w:t>
      </w:r>
      <w:r w:rsidRPr="005F6787">
        <w:rPr>
          <w:szCs w:val="21"/>
        </w:rPr>
        <w:t>GWB18</w:t>
      </w:r>
      <w:r w:rsidRPr="005F6787">
        <w:rPr>
          <w:szCs w:val="21"/>
        </w:rPr>
        <w:t>条</w:t>
      </w:r>
      <w:r w:rsidRPr="005F6787">
        <w:rPr>
          <w:szCs w:val="21"/>
        </w:rPr>
        <w:t>2a</w:t>
      </w:r>
      <w:r w:rsidRPr="005F6787">
        <w:rPr>
          <w:szCs w:val="21"/>
        </w:rPr>
        <w:t>項の新たな規定から，ドイツの立法者は、金銭的な反対給付（</w:t>
      </w:r>
      <w:r w:rsidRPr="005F6787">
        <w:rPr>
          <w:szCs w:val="21"/>
        </w:rPr>
        <w:t>Gegenleistung</w:t>
      </w:r>
      <w:r w:rsidRPr="005F6787">
        <w:rPr>
          <w:szCs w:val="21"/>
        </w:rPr>
        <w:t>）に代わってデータを提供することを『対価』（</w:t>
      </w:r>
      <w:r w:rsidRPr="005F6787">
        <w:rPr>
          <w:szCs w:val="21"/>
        </w:rPr>
        <w:t>Entgelt</w:t>
      </w:r>
      <w:r w:rsidRPr="005F6787">
        <w:rPr>
          <w:szCs w:val="21"/>
        </w:rPr>
        <w:t>）とはみていないことが分かる。そ</w:t>
      </w:r>
      <w:r w:rsidRPr="005F6787">
        <w:rPr>
          <w:rFonts w:cs="Times New Roman"/>
          <w:szCs w:val="21"/>
        </w:rPr>
        <w:t>うでなければ，『対価なしで』サービス（</w:t>
      </w:r>
      <w:r w:rsidRPr="005F6787">
        <w:rPr>
          <w:rFonts w:cs="Arial"/>
          <w:kern w:val="0"/>
          <w:szCs w:val="21"/>
        </w:rPr>
        <w:t>Leistung</w:t>
      </w:r>
      <w:r w:rsidRPr="005F6787">
        <w:rPr>
          <w:rFonts w:cs="Arial"/>
          <w:kern w:val="0"/>
          <w:szCs w:val="21"/>
        </w:rPr>
        <w:t>）がなされることが、</w:t>
      </w:r>
      <w:r w:rsidRPr="005F6787">
        <w:rPr>
          <w:rFonts w:cs="Times New Roman"/>
          <w:szCs w:val="21"/>
        </w:rPr>
        <w:t>GWB</w:t>
      </w:r>
      <w:r w:rsidRPr="005F6787">
        <w:rPr>
          <w:rFonts w:cs="Times New Roman"/>
          <w:szCs w:val="21"/>
        </w:rPr>
        <w:t>の意味で市場を画定することを妨げるものではないことを明確にする必要はなかったであろう。この規定の背景は，（本改正の際に公表された）立法理由からも分かるように、まさにここで問題となっているようなビジネスモデルである。</w:t>
      </w:r>
    </w:p>
    <w:p w14:paraId="28F1F5AD" w14:textId="77777777" w:rsidR="002972CB" w:rsidRPr="005F6787" w:rsidRDefault="002972CB" w:rsidP="009D755F">
      <w:pPr>
        <w:ind w:firstLineChars="100" w:firstLine="210"/>
        <w:rPr>
          <w:rFonts w:cs="Times New Roman"/>
          <w:szCs w:val="21"/>
        </w:rPr>
      </w:pPr>
      <w:r w:rsidRPr="005F6787">
        <w:rPr>
          <w:rFonts w:cs="Times New Roman"/>
          <w:szCs w:val="21"/>
        </w:rPr>
        <w:t>このように，新しい規定の由来と用語は，データ提供に関する取り決めが，</w:t>
      </w:r>
      <w:r w:rsidRPr="005F6787">
        <w:rPr>
          <w:rFonts w:cs="Times New Roman"/>
          <w:szCs w:val="21"/>
        </w:rPr>
        <w:t>19</w:t>
      </w:r>
      <w:r w:rsidRPr="005F6787">
        <w:rPr>
          <w:rFonts w:cs="Times New Roman"/>
          <w:szCs w:val="21"/>
        </w:rPr>
        <w:t>条</w:t>
      </w:r>
      <w:r w:rsidRPr="005F6787">
        <w:rPr>
          <w:rFonts w:cs="Times New Roman"/>
          <w:szCs w:val="21"/>
        </w:rPr>
        <w:t>1</w:t>
      </w:r>
      <w:r w:rsidRPr="005F6787">
        <w:rPr>
          <w:rFonts w:cs="Times New Roman"/>
          <w:szCs w:val="21"/>
        </w:rPr>
        <w:t>項、</w:t>
      </w:r>
      <w:r w:rsidRPr="005F6787">
        <w:rPr>
          <w:rFonts w:cs="Times New Roman"/>
          <w:szCs w:val="21"/>
        </w:rPr>
        <w:t>2</w:t>
      </w:r>
      <w:r w:rsidRPr="005F6787">
        <w:rPr>
          <w:rFonts w:cs="Times New Roman"/>
          <w:szCs w:val="21"/>
        </w:rPr>
        <w:t>項</w:t>
      </w:r>
      <w:r w:rsidRPr="005F6787">
        <w:rPr>
          <w:rFonts w:cs="Times New Roman"/>
          <w:szCs w:val="21"/>
        </w:rPr>
        <w:t>2</w:t>
      </w:r>
      <w:r w:rsidRPr="005F6787">
        <w:rPr>
          <w:rFonts w:cs="Times New Roman"/>
          <w:szCs w:val="21"/>
        </w:rPr>
        <w:t>号</w:t>
      </w:r>
      <w:r w:rsidR="006262A1" w:rsidRPr="005F6787">
        <w:rPr>
          <w:rFonts w:cs="Times New Roman"/>
          <w:szCs w:val="21"/>
        </w:rPr>
        <w:t>及び</w:t>
      </w:r>
      <w:r w:rsidRPr="005F6787">
        <w:rPr>
          <w:rFonts w:cs="Times New Roman"/>
          <w:szCs w:val="21"/>
        </w:rPr>
        <w:t>3</w:t>
      </w:r>
      <w:r w:rsidRPr="005F6787">
        <w:rPr>
          <w:rFonts w:cs="Times New Roman"/>
          <w:szCs w:val="21"/>
        </w:rPr>
        <w:t>号の意味でも対価に関する規定ではなく，取引条件に関する規定であるという結論を裏付けるものである」</w:t>
      </w:r>
      <w:r w:rsidRPr="005F6787">
        <w:rPr>
          <w:rFonts w:cs="Times New Roman"/>
          <w:szCs w:val="21"/>
        </w:rPr>
        <w:t>(Rn.572)</w:t>
      </w:r>
      <w:r w:rsidRPr="005F6787">
        <w:rPr>
          <w:rFonts w:cs="Times New Roman"/>
          <w:szCs w:val="21"/>
        </w:rPr>
        <w:t>。</w:t>
      </w:r>
    </w:p>
    <w:p w14:paraId="656AA3F2" w14:textId="77777777" w:rsidR="00E53BFC" w:rsidRPr="005F6787" w:rsidRDefault="00E53BFC" w:rsidP="00E53BFC">
      <w:pPr>
        <w:ind w:firstLineChars="100" w:firstLine="210"/>
        <w:rPr>
          <w:szCs w:val="21"/>
        </w:rPr>
      </w:pPr>
      <w:r w:rsidRPr="005F6787">
        <w:rPr>
          <w:szCs w:val="21"/>
        </w:rPr>
        <w:t>このように、本決定が取引条件に関する濫用として捉えた理由は、価格濫用であれば「著しく（</w:t>
      </w:r>
      <w:r w:rsidRPr="005F6787">
        <w:rPr>
          <w:szCs w:val="21"/>
        </w:rPr>
        <w:t>erheblich</w:t>
      </w:r>
      <w:r w:rsidRPr="005F6787">
        <w:rPr>
          <w:szCs w:val="21"/>
        </w:rPr>
        <w:t>）」が追加的に要求され、立証のハードルが高くなる、ということもあるのであろう</w:t>
      </w:r>
      <w:r w:rsidRPr="005F6787">
        <w:rPr>
          <w:szCs w:val="21"/>
        </w:rPr>
        <w:footnoteReference w:id="14"/>
      </w:r>
      <w:r w:rsidRPr="005F6787">
        <w:rPr>
          <w:szCs w:val="21"/>
        </w:rPr>
        <w:t>。「</w:t>
      </w:r>
      <w:r w:rsidRPr="005F6787">
        <w:rPr>
          <w:szCs w:val="21"/>
        </w:rPr>
        <w:t>BGH</w:t>
      </w:r>
      <w:r w:rsidRPr="005F6787">
        <w:rPr>
          <w:szCs w:val="21"/>
        </w:rPr>
        <w:t>の確立した判例に拠れば、価格濫用として非難に内在する無価値判断のためには、想定競争価格を著しく超過することが前提になる」、と解されているからである</w:t>
      </w:r>
      <w:r w:rsidRPr="005F6787">
        <w:rPr>
          <w:szCs w:val="21"/>
        </w:rPr>
        <w:footnoteReference w:id="15"/>
      </w:r>
      <w:r w:rsidRPr="005F6787">
        <w:rPr>
          <w:szCs w:val="21"/>
        </w:rPr>
        <w:t>。</w:t>
      </w:r>
    </w:p>
    <w:p w14:paraId="47205A4C" w14:textId="77777777" w:rsidR="002972CB" w:rsidRPr="005F6787" w:rsidRDefault="00E53BFC" w:rsidP="002711B8">
      <w:pPr>
        <w:ind w:firstLineChars="100" w:firstLine="210"/>
        <w:rPr>
          <w:szCs w:val="21"/>
        </w:rPr>
      </w:pPr>
      <w:r w:rsidRPr="005F6787">
        <w:rPr>
          <w:rFonts w:cs="Times New Roman"/>
          <w:szCs w:val="21"/>
        </w:rPr>
        <w:t>その上で、本決定は、前述のように、</w:t>
      </w:r>
      <w:r w:rsidRPr="005F6787">
        <w:rPr>
          <w:szCs w:val="21"/>
        </w:rPr>
        <w:t>FB</w:t>
      </w:r>
      <w:r w:rsidRPr="005F6787">
        <w:rPr>
          <w:szCs w:val="21"/>
        </w:rPr>
        <w:t>の本件行為は、</w:t>
      </w:r>
      <w:r w:rsidRPr="005F6787">
        <w:rPr>
          <w:rFonts w:cs="Times New Roman"/>
          <w:szCs w:val="21"/>
        </w:rPr>
        <w:t>「</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項の一般条項に基づく条件濫用の形態における市場支配的地位の濫用行為に当たる</w:t>
      </w:r>
      <w:r w:rsidRPr="005F6787">
        <w:rPr>
          <w:szCs w:val="21"/>
        </w:rPr>
        <w:t>」、とした（</w:t>
      </w:r>
      <w:r w:rsidRPr="005F6787">
        <w:rPr>
          <w:szCs w:val="21"/>
        </w:rPr>
        <w:t>Rn.523</w:t>
      </w:r>
      <w:r w:rsidRPr="005F6787">
        <w:rPr>
          <w:szCs w:val="21"/>
        </w:rPr>
        <w:t>）。本</w:t>
      </w:r>
      <w:r w:rsidR="002972CB" w:rsidRPr="005F6787">
        <w:rPr>
          <w:szCs w:val="21"/>
        </w:rPr>
        <w:t>決定が、</w:t>
      </w:r>
      <w:r w:rsidR="002972CB" w:rsidRPr="005F6787">
        <w:rPr>
          <w:szCs w:val="21"/>
        </w:rPr>
        <w:t>FB</w:t>
      </w:r>
      <w:r w:rsidR="002972CB" w:rsidRPr="005F6787">
        <w:rPr>
          <w:szCs w:val="21"/>
        </w:rPr>
        <w:t>の本件行為につき、</w:t>
      </w:r>
      <w:r w:rsidR="002972CB" w:rsidRPr="005F6787">
        <w:rPr>
          <w:szCs w:val="21"/>
        </w:rPr>
        <w:t>GWB19</w:t>
      </w:r>
      <w:r w:rsidR="002972CB" w:rsidRPr="005F6787">
        <w:rPr>
          <w:szCs w:val="21"/>
        </w:rPr>
        <w:t>条</w:t>
      </w:r>
      <w:r w:rsidR="002972CB" w:rsidRPr="005F6787">
        <w:rPr>
          <w:szCs w:val="21"/>
        </w:rPr>
        <w:t>2</w:t>
      </w:r>
      <w:r w:rsidR="002972CB" w:rsidRPr="005F6787">
        <w:rPr>
          <w:szCs w:val="21"/>
        </w:rPr>
        <w:t>項</w:t>
      </w:r>
      <w:r w:rsidR="002972CB" w:rsidRPr="005F6787">
        <w:rPr>
          <w:szCs w:val="21"/>
        </w:rPr>
        <w:t>2</w:t>
      </w:r>
      <w:r w:rsidRPr="005F6787">
        <w:rPr>
          <w:szCs w:val="21"/>
        </w:rPr>
        <w:t>号ではなく、</w:t>
      </w:r>
      <w:r w:rsidR="002972CB" w:rsidRPr="005F6787">
        <w:rPr>
          <w:szCs w:val="21"/>
        </w:rPr>
        <w:t>19</w:t>
      </w:r>
      <w:r w:rsidR="002972CB" w:rsidRPr="005F6787">
        <w:rPr>
          <w:szCs w:val="21"/>
        </w:rPr>
        <w:t>条</w:t>
      </w:r>
      <w:r w:rsidR="002972CB" w:rsidRPr="005F6787">
        <w:rPr>
          <w:szCs w:val="21"/>
        </w:rPr>
        <w:t>1</w:t>
      </w:r>
      <w:r w:rsidRPr="005F6787">
        <w:rPr>
          <w:szCs w:val="21"/>
        </w:rPr>
        <w:t>項の一般条項における取引条件濫用</w:t>
      </w:r>
      <w:r w:rsidR="002972CB" w:rsidRPr="005F6787">
        <w:rPr>
          <w:szCs w:val="21"/>
        </w:rPr>
        <w:t>に当たるとした実質的理由の１つは、</w:t>
      </w:r>
      <w:r w:rsidR="002972CB" w:rsidRPr="005F6787">
        <w:rPr>
          <w:szCs w:val="21"/>
        </w:rPr>
        <w:t>19</w:t>
      </w:r>
      <w:r w:rsidR="002972CB" w:rsidRPr="005F6787">
        <w:rPr>
          <w:szCs w:val="21"/>
        </w:rPr>
        <w:t>条</w:t>
      </w:r>
      <w:r w:rsidR="002972CB" w:rsidRPr="005F6787">
        <w:rPr>
          <w:szCs w:val="21"/>
        </w:rPr>
        <w:t>2</w:t>
      </w:r>
      <w:r w:rsidR="002972CB" w:rsidRPr="005F6787">
        <w:rPr>
          <w:szCs w:val="21"/>
        </w:rPr>
        <w:t>項</w:t>
      </w:r>
      <w:r w:rsidR="002972CB" w:rsidRPr="005F6787">
        <w:rPr>
          <w:szCs w:val="21"/>
        </w:rPr>
        <w:t>2</w:t>
      </w:r>
      <w:r w:rsidR="002972CB" w:rsidRPr="005F6787">
        <w:rPr>
          <w:szCs w:val="21"/>
        </w:rPr>
        <w:t>号の要件として、「有効な競争のある比較可能な市場」が明示されており、その立証を避けたものと推測される。</w:t>
      </w:r>
    </w:p>
    <w:p w14:paraId="3F34F837" w14:textId="77777777" w:rsidR="002972CB" w:rsidRPr="005F6787" w:rsidRDefault="002972CB" w:rsidP="000244DB">
      <w:pPr>
        <w:pStyle w:val="ab"/>
        <w:ind w:firstLineChars="100" w:firstLine="210"/>
        <w:rPr>
          <w:szCs w:val="21"/>
        </w:rPr>
      </w:pPr>
    </w:p>
    <w:p w14:paraId="6E233151" w14:textId="77777777" w:rsidR="002972CB" w:rsidRPr="005F6787" w:rsidRDefault="006262A1" w:rsidP="00CE4730">
      <w:pPr>
        <w:pStyle w:val="2"/>
        <w:rPr>
          <w:rFonts w:asciiTheme="minorHAnsi" w:eastAsiaTheme="minorEastAsia" w:hAnsiTheme="minorHAnsi"/>
          <w:b/>
          <w:szCs w:val="21"/>
        </w:rPr>
      </w:pPr>
      <w:r w:rsidRPr="005F6787">
        <w:rPr>
          <w:rFonts w:asciiTheme="minorHAnsi" w:eastAsiaTheme="minorEastAsia" w:hAnsiTheme="minorHAnsi"/>
          <w:b/>
          <w:szCs w:val="21"/>
        </w:rPr>
        <w:t>(4</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普通取引約款と民法・濫用規制</w:t>
      </w:r>
    </w:p>
    <w:p w14:paraId="5727DA60" w14:textId="77777777" w:rsidR="002972CB" w:rsidRPr="005F6787" w:rsidRDefault="002972CB" w:rsidP="002711B8">
      <w:pPr>
        <w:ind w:firstLineChars="100" w:firstLine="210"/>
        <w:jc w:val="left"/>
        <w:rPr>
          <w:szCs w:val="21"/>
        </w:rPr>
      </w:pPr>
      <w:r w:rsidRPr="005F6787">
        <w:rPr>
          <w:szCs w:val="21"/>
        </w:rPr>
        <w:t>FB</w:t>
      </w:r>
      <w:r w:rsidRPr="005F6787">
        <w:rPr>
          <w:szCs w:val="21"/>
        </w:rPr>
        <w:t>が個人ユーザーとの関係において定めている取引条件は、ドイツでは</w:t>
      </w:r>
      <w:r w:rsidRPr="005F6787">
        <w:rPr>
          <w:szCs w:val="21"/>
        </w:rPr>
        <w:t>1970</w:t>
      </w:r>
      <w:r w:rsidRPr="005F6787">
        <w:rPr>
          <w:szCs w:val="21"/>
        </w:rPr>
        <w:t>年代から</w:t>
      </w:r>
      <w:r w:rsidRPr="005F6787">
        <w:rPr>
          <w:szCs w:val="21"/>
        </w:rPr>
        <w:lastRenderedPageBreak/>
        <w:t>の多くの議論を受けて成立した普通取引約款法</w:t>
      </w:r>
      <w:r w:rsidRPr="005F6787">
        <w:rPr>
          <w:szCs w:val="21"/>
        </w:rPr>
        <w:t>(AGB</w:t>
      </w:r>
      <w:r w:rsidR="00D421DE" w:rsidRPr="005F6787">
        <w:rPr>
          <w:szCs w:val="21"/>
        </w:rPr>
        <w:t>G</w:t>
      </w:r>
      <w:r w:rsidRPr="005F6787">
        <w:rPr>
          <w:szCs w:val="21"/>
        </w:rPr>
        <w:t>.1976</w:t>
      </w:r>
      <w:r w:rsidRPr="005F6787">
        <w:rPr>
          <w:szCs w:val="21"/>
        </w:rPr>
        <w:t>年制定</w:t>
      </w:r>
      <w:r w:rsidRPr="005F6787">
        <w:rPr>
          <w:szCs w:val="21"/>
        </w:rPr>
        <w:t>)</w:t>
      </w:r>
      <w:r w:rsidRPr="005F6787">
        <w:rPr>
          <w:szCs w:val="21"/>
        </w:rPr>
        <w:t>によって規制されてきた（現行のドイツ民法では</w:t>
      </w:r>
      <w:r w:rsidRPr="005F6787">
        <w:rPr>
          <w:szCs w:val="21"/>
        </w:rPr>
        <w:t>305</w:t>
      </w:r>
      <w:r w:rsidRPr="005F6787">
        <w:rPr>
          <w:szCs w:val="21"/>
        </w:rPr>
        <w:t>条以下に組み入れられている。日本民法では</w:t>
      </w:r>
      <w:r w:rsidRPr="005F6787">
        <w:rPr>
          <w:szCs w:val="21"/>
        </w:rPr>
        <w:t>548</w:t>
      </w:r>
      <w:r w:rsidRPr="005F6787">
        <w:rPr>
          <w:szCs w:val="21"/>
        </w:rPr>
        <w:t>条の</w:t>
      </w:r>
      <w:r w:rsidRPr="005F6787">
        <w:rPr>
          <w:szCs w:val="21"/>
        </w:rPr>
        <w:t>2</w:t>
      </w:r>
      <w:r w:rsidRPr="005F6787">
        <w:rPr>
          <w:szCs w:val="21"/>
        </w:rPr>
        <w:t>以下）</w:t>
      </w:r>
      <w:r w:rsidR="00EA3CBA" w:rsidRPr="005F6787">
        <w:rPr>
          <w:rStyle w:val="ad"/>
          <w:szCs w:val="21"/>
        </w:rPr>
        <w:footnoteReference w:id="16"/>
      </w:r>
      <w:r w:rsidRPr="005F6787">
        <w:rPr>
          <w:szCs w:val="21"/>
        </w:rPr>
        <w:t>。</w:t>
      </w:r>
    </w:p>
    <w:p w14:paraId="2EF168B9" w14:textId="77777777" w:rsidR="002972CB" w:rsidRPr="005F6787" w:rsidRDefault="002972CB" w:rsidP="002711B8">
      <w:pPr>
        <w:ind w:firstLineChars="100" w:firstLine="210"/>
        <w:jc w:val="left"/>
        <w:rPr>
          <w:szCs w:val="21"/>
        </w:rPr>
      </w:pPr>
      <w:r w:rsidRPr="005F6787">
        <w:rPr>
          <w:szCs w:val="21"/>
        </w:rPr>
        <w:t>このような民法上の規制と並んで、連邦カルテル庁も、これ</w:t>
      </w:r>
      <w:r w:rsidR="00F857FD" w:rsidRPr="005F6787">
        <w:rPr>
          <w:szCs w:val="21"/>
        </w:rPr>
        <w:t>までも繰り返し、条件濫用に当たるとして普通取引約款に介入しており</w:t>
      </w:r>
      <w:r w:rsidRPr="005F6787">
        <w:rPr>
          <w:rStyle w:val="ad"/>
          <w:szCs w:val="21"/>
        </w:rPr>
        <w:footnoteReference w:id="17"/>
      </w:r>
      <w:r w:rsidR="00F857FD" w:rsidRPr="005F6787">
        <w:rPr>
          <w:szCs w:val="21"/>
        </w:rPr>
        <w:t>、</w:t>
      </w:r>
      <w:r w:rsidRPr="005F6787">
        <w:rPr>
          <w:szCs w:val="21"/>
        </w:rPr>
        <w:t>それら</w:t>
      </w:r>
      <w:r w:rsidR="00F857FD" w:rsidRPr="005F6787">
        <w:rPr>
          <w:szCs w:val="21"/>
        </w:rPr>
        <w:t>の多く</w:t>
      </w:r>
      <w:r w:rsidRPr="005F6787">
        <w:rPr>
          <w:szCs w:val="21"/>
        </w:rPr>
        <w:t>は、エネルギー関係</w:t>
      </w:r>
      <w:r w:rsidR="00F857FD" w:rsidRPr="005F6787">
        <w:rPr>
          <w:szCs w:val="21"/>
        </w:rPr>
        <w:t>の事件である。大規模小売業者が納入業者に対して課す取引条件には、個別の取引条件と</w:t>
      </w:r>
      <w:r w:rsidRPr="005F6787">
        <w:rPr>
          <w:szCs w:val="21"/>
        </w:rPr>
        <w:t>普通取引約款</w:t>
      </w:r>
      <w:r w:rsidR="00F857FD" w:rsidRPr="005F6787">
        <w:rPr>
          <w:szCs w:val="21"/>
        </w:rPr>
        <w:t>に当たる取引条件の両方がある</w:t>
      </w:r>
      <w:r w:rsidRPr="005F6787">
        <w:rPr>
          <w:szCs w:val="21"/>
        </w:rPr>
        <w:t>。</w:t>
      </w:r>
    </w:p>
    <w:p w14:paraId="7E4B3E7F" w14:textId="018E8737" w:rsidR="002972CB" w:rsidRPr="005F6787" w:rsidRDefault="00426BE7" w:rsidP="002711B8">
      <w:pPr>
        <w:ind w:firstLineChars="100" w:firstLine="210"/>
        <w:jc w:val="left"/>
        <w:rPr>
          <w:szCs w:val="21"/>
        </w:rPr>
      </w:pPr>
      <w:r w:rsidRPr="005F6787">
        <w:rPr>
          <w:szCs w:val="21"/>
        </w:rPr>
        <w:t>条件濫用に関する</w:t>
      </w:r>
      <w:r w:rsidRPr="005F6787">
        <w:rPr>
          <w:szCs w:val="21"/>
        </w:rPr>
        <w:t>GWB</w:t>
      </w:r>
      <w:r w:rsidRPr="005F6787">
        <w:rPr>
          <w:szCs w:val="21"/>
        </w:rPr>
        <w:t>上の</w:t>
      </w:r>
      <w:r w:rsidR="004F009D" w:rsidRPr="005F6787">
        <w:rPr>
          <w:szCs w:val="21"/>
        </w:rPr>
        <w:t>諸事件においては、</w:t>
      </w:r>
      <w:r w:rsidR="002972CB" w:rsidRPr="005F6787">
        <w:rPr>
          <w:szCs w:val="21"/>
        </w:rPr>
        <w:t>民法との関連が重視されており、搾取</w:t>
      </w:r>
      <w:r w:rsidR="00967D5F" w:rsidRPr="005F6787">
        <w:rPr>
          <w:szCs w:val="21"/>
        </w:rPr>
        <w:t>的</w:t>
      </w:r>
      <w:r w:rsidR="002972CB" w:rsidRPr="005F6787">
        <w:rPr>
          <w:szCs w:val="21"/>
        </w:rPr>
        <w:t>濫用に当たるか否かについての判断基準は、判断基準は、民法上の任意法規の基礎にある正義の観念（</w:t>
      </w:r>
      <w:r w:rsidR="002972CB" w:rsidRPr="005F6787">
        <w:rPr>
          <w:szCs w:val="21"/>
        </w:rPr>
        <w:t>Gerechtigkeitsvorstellungen</w:t>
      </w:r>
      <w:r w:rsidR="002972CB" w:rsidRPr="005F6787">
        <w:rPr>
          <w:szCs w:val="21"/>
        </w:rPr>
        <w:t>）から、一方的な負担を課すことにおいて逸脱することであって、その根拠となる点は、前記の約款に関する</w:t>
      </w:r>
      <w:r w:rsidR="00C97FF4" w:rsidRPr="005F6787">
        <w:rPr>
          <w:szCs w:val="21"/>
        </w:rPr>
        <w:t>民法（</w:t>
      </w:r>
      <w:r w:rsidR="00C97FF4" w:rsidRPr="005F6787">
        <w:rPr>
          <w:szCs w:val="21"/>
        </w:rPr>
        <w:t>BGB</w:t>
      </w:r>
      <w:r w:rsidR="00C97FF4" w:rsidRPr="005F6787">
        <w:rPr>
          <w:szCs w:val="21"/>
        </w:rPr>
        <w:t>）</w:t>
      </w:r>
      <w:r w:rsidR="002972CB" w:rsidRPr="005F6787">
        <w:rPr>
          <w:szCs w:val="21"/>
        </w:rPr>
        <w:t>305</w:t>
      </w:r>
      <w:r w:rsidR="00C97FF4" w:rsidRPr="005F6787">
        <w:rPr>
          <w:szCs w:val="21"/>
        </w:rPr>
        <w:t>条以下の諸規定</w:t>
      </w:r>
      <w:r w:rsidR="002972CB" w:rsidRPr="005F6787">
        <w:rPr>
          <w:szCs w:val="21"/>
        </w:rPr>
        <w:t>である、と説かれる</w:t>
      </w:r>
      <w:r w:rsidR="002972CB" w:rsidRPr="005F6787">
        <w:rPr>
          <w:rStyle w:val="ad"/>
          <w:szCs w:val="21"/>
        </w:rPr>
        <w:footnoteReference w:id="18"/>
      </w:r>
      <w:r w:rsidR="002972CB" w:rsidRPr="005F6787">
        <w:rPr>
          <w:szCs w:val="21"/>
        </w:rPr>
        <w:t>。</w:t>
      </w:r>
    </w:p>
    <w:p w14:paraId="27A97E4E" w14:textId="77777777" w:rsidR="002972CB" w:rsidRPr="005F6787" w:rsidRDefault="002972CB" w:rsidP="002711B8">
      <w:pPr>
        <w:ind w:firstLineChars="100" w:firstLine="210"/>
        <w:jc w:val="left"/>
        <w:rPr>
          <w:szCs w:val="21"/>
        </w:rPr>
      </w:pPr>
      <w:r w:rsidRPr="005F6787">
        <w:rPr>
          <w:szCs w:val="21"/>
        </w:rPr>
        <w:t>他方で、</w:t>
      </w:r>
      <w:r w:rsidRPr="005F6787">
        <w:rPr>
          <w:szCs w:val="21"/>
        </w:rPr>
        <w:t>Google/DoubleClick</w:t>
      </w:r>
      <w:r w:rsidRPr="005F6787">
        <w:rPr>
          <w:szCs w:val="21"/>
        </w:rPr>
        <w:t>事件や</w:t>
      </w:r>
      <w:r w:rsidRPr="005F6787">
        <w:rPr>
          <w:szCs w:val="21"/>
        </w:rPr>
        <w:t>Facebook/WhatsApp</w:t>
      </w:r>
      <w:r w:rsidRPr="005F6787">
        <w:rPr>
          <w:szCs w:val="21"/>
        </w:rPr>
        <w:t>事件などの</w:t>
      </w:r>
      <w:r w:rsidR="00073E11" w:rsidRPr="005F6787">
        <w:rPr>
          <w:szCs w:val="21"/>
        </w:rPr>
        <w:t>企業結合事例において、カルテル庁がこれらを認めたことについて</w:t>
      </w:r>
      <w:r w:rsidR="00CF3D43" w:rsidRPr="005F6787">
        <w:rPr>
          <w:szCs w:val="21"/>
        </w:rPr>
        <w:t>データ</w:t>
      </w:r>
      <w:r w:rsidRPr="005F6787">
        <w:rPr>
          <w:szCs w:val="21"/>
        </w:rPr>
        <w:t>保護を十分に考慮に入れていないという批判もあった</w:t>
      </w:r>
      <w:r w:rsidRPr="005F6787">
        <w:rPr>
          <w:rStyle w:val="ad"/>
          <w:szCs w:val="21"/>
        </w:rPr>
        <w:footnoteReference w:id="19"/>
      </w:r>
      <w:r w:rsidRPr="005F6787">
        <w:rPr>
          <w:szCs w:val="21"/>
        </w:rPr>
        <w:t>。</w:t>
      </w:r>
      <w:r w:rsidRPr="005F6787">
        <w:rPr>
          <w:szCs w:val="21"/>
        </w:rPr>
        <w:t xml:space="preserve"> </w:t>
      </w:r>
    </w:p>
    <w:p w14:paraId="2C5F4D08" w14:textId="77777777" w:rsidR="002972CB" w:rsidRPr="005F6787" w:rsidRDefault="002972CB" w:rsidP="00702C26">
      <w:pPr>
        <w:ind w:firstLineChars="100" w:firstLine="210"/>
        <w:jc w:val="left"/>
        <w:rPr>
          <w:szCs w:val="21"/>
        </w:rPr>
      </w:pPr>
      <w:r w:rsidRPr="005F6787">
        <w:rPr>
          <w:szCs w:val="21"/>
        </w:rPr>
        <w:t>本決定は、このような経緯の中で</w:t>
      </w:r>
      <w:r w:rsidRPr="005F6787">
        <w:rPr>
          <w:szCs w:val="21"/>
        </w:rPr>
        <w:t>3</w:t>
      </w:r>
      <w:r w:rsidRPr="005F6787">
        <w:rPr>
          <w:szCs w:val="21"/>
        </w:rPr>
        <w:t>年間の調査、</w:t>
      </w:r>
      <w:r w:rsidRPr="005F6787">
        <w:rPr>
          <w:szCs w:val="21"/>
        </w:rPr>
        <w:t>FB</w:t>
      </w:r>
      <w:r w:rsidRPr="005F6787">
        <w:rPr>
          <w:szCs w:val="21"/>
        </w:rPr>
        <w:t>との議論を経て下されたものである。</w:t>
      </w:r>
    </w:p>
    <w:p w14:paraId="5F1AE573" w14:textId="77777777" w:rsidR="002972CB" w:rsidRPr="005F6787" w:rsidRDefault="002972CB" w:rsidP="00702C26">
      <w:pPr>
        <w:ind w:firstLineChars="100" w:firstLine="210"/>
        <w:jc w:val="left"/>
        <w:rPr>
          <w:szCs w:val="21"/>
        </w:rPr>
      </w:pPr>
    </w:p>
    <w:p w14:paraId="25E159CD" w14:textId="77777777" w:rsidR="002972CB" w:rsidRPr="005F6787" w:rsidRDefault="006262A1" w:rsidP="00DC4F46">
      <w:pPr>
        <w:pStyle w:val="2"/>
        <w:rPr>
          <w:rFonts w:asciiTheme="minorHAnsi" w:eastAsiaTheme="minorEastAsia" w:hAnsiTheme="minorHAnsi"/>
          <w:b/>
          <w:szCs w:val="21"/>
        </w:rPr>
      </w:pPr>
      <w:r w:rsidRPr="005F6787">
        <w:rPr>
          <w:rFonts w:asciiTheme="minorHAnsi" w:eastAsiaTheme="minorEastAsia" w:hAnsiTheme="minorHAnsi"/>
          <w:b/>
          <w:szCs w:val="21"/>
        </w:rPr>
        <w:t>(5</w:t>
      </w:r>
      <w:r w:rsidR="002972CB" w:rsidRPr="005F6787">
        <w:rPr>
          <w:rFonts w:asciiTheme="minorHAnsi" w:eastAsiaTheme="minorEastAsia" w:hAnsiTheme="minorHAnsi"/>
          <w:b/>
          <w:szCs w:val="21"/>
        </w:rPr>
        <w:t>）</w:t>
      </w:r>
      <w:r w:rsidR="002972CB" w:rsidRPr="005F6787">
        <w:rPr>
          <w:rFonts w:asciiTheme="minorHAnsi" w:eastAsiaTheme="minorEastAsia" w:hAnsiTheme="minorHAnsi"/>
          <w:b/>
          <w:szCs w:val="21"/>
        </w:rPr>
        <w:t>GDPR</w:t>
      </w:r>
      <w:r w:rsidR="002972CB" w:rsidRPr="005F6787">
        <w:rPr>
          <w:rFonts w:asciiTheme="minorHAnsi" w:eastAsiaTheme="minorEastAsia" w:hAnsiTheme="minorHAnsi"/>
          <w:b/>
          <w:szCs w:val="21"/>
        </w:rPr>
        <w:t>違反と濫用の結びつき</w:t>
      </w:r>
    </w:p>
    <w:p w14:paraId="513ECBF6" w14:textId="77777777" w:rsidR="00426BE7" w:rsidRPr="005F6787" w:rsidRDefault="00815C6D" w:rsidP="002711B8">
      <w:pPr>
        <w:ind w:firstLineChars="100" w:firstLine="210"/>
        <w:rPr>
          <w:szCs w:val="21"/>
        </w:rPr>
      </w:pPr>
      <w:r w:rsidRPr="005F6787">
        <w:rPr>
          <w:szCs w:val="21"/>
        </w:rPr>
        <w:t>本決定は，</w:t>
      </w:r>
      <w:r w:rsidR="002972CB" w:rsidRPr="005F6787">
        <w:rPr>
          <w:szCs w:val="21"/>
        </w:rPr>
        <w:t>GDPR</w:t>
      </w:r>
      <w:r w:rsidR="002972CB" w:rsidRPr="005F6787">
        <w:rPr>
          <w:szCs w:val="21"/>
        </w:rPr>
        <w:t>違反と</w:t>
      </w:r>
      <w:r w:rsidR="002972CB" w:rsidRPr="005F6787">
        <w:rPr>
          <w:szCs w:val="21"/>
        </w:rPr>
        <w:t>GWB(</w:t>
      </w:r>
      <w:r w:rsidR="002972CB" w:rsidRPr="005F6787">
        <w:rPr>
          <w:szCs w:val="21"/>
        </w:rPr>
        <w:t>競争制限禁止法</w:t>
      </w:r>
      <w:r w:rsidR="002972CB" w:rsidRPr="005F6787">
        <w:rPr>
          <w:szCs w:val="21"/>
        </w:rPr>
        <w:t>)</w:t>
      </w:r>
      <w:r w:rsidR="002972CB" w:rsidRPr="005F6787">
        <w:rPr>
          <w:szCs w:val="21"/>
        </w:rPr>
        <w:t>上の濫用を結びつけたことが特徴的である。</w:t>
      </w:r>
    </w:p>
    <w:p w14:paraId="712388F0" w14:textId="77777777" w:rsidR="002972CB" w:rsidRPr="005F6787" w:rsidRDefault="00426BE7" w:rsidP="002711B8">
      <w:pPr>
        <w:ind w:firstLineChars="100" w:firstLine="210"/>
        <w:rPr>
          <w:szCs w:val="21"/>
        </w:rPr>
      </w:pPr>
      <w:r w:rsidRPr="005F6787">
        <w:rPr>
          <w:szCs w:val="21"/>
        </w:rPr>
        <w:t>本決定によれば</w:t>
      </w:r>
      <w:r w:rsidR="002972CB" w:rsidRPr="005F6787">
        <w:rPr>
          <w:szCs w:val="21"/>
        </w:rPr>
        <w:t>、「</w:t>
      </w:r>
      <w:r w:rsidR="002972CB" w:rsidRPr="005F6787">
        <w:rPr>
          <w:szCs w:val="21"/>
        </w:rPr>
        <w:t>FB</w:t>
      </w:r>
      <w:r w:rsidR="002972CB" w:rsidRPr="005F6787">
        <w:rPr>
          <w:szCs w:val="21"/>
        </w:rPr>
        <w:t>のこのような（</w:t>
      </w:r>
      <w:r w:rsidR="002972CB" w:rsidRPr="005F6787">
        <w:rPr>
          <w:szCs w:val="21"/>
        </w:rPr>
        <w:t>GDPR</w:t>
      </w:r>
      <w:r w:rsidR="002972CB" w:rsidRPr="005F6787">
        <w:rPr>
          <w:szCs w:val="21"/>
        </w:rPr>
        <w:t>違反の）データ処理条件は、また、</w:t>
      </w:r>
      <w:r w:rsidR="002972CB" w:rsidRPr="005F6787">
        <w:rPr>
          <w:szCs w:val="21"/>
        </w:rPr>
        <w:t xml:space="preserve">GWB 19 </w:t>
      </w:r>
      <w:r w:rsidR="002972CB" w:rsidRPr="005F6787">
        <w:rPr>
          <w:szCs w:val="21"/>
        </w:rPr>
        <w:t>条</w:t>
      </w:r>
      <w:r w:rsidR="002972CB" w:rsidRPr="005F6787">
        <w:rPr>
          <w:szCs w:val="21"/>
        </w:rPr>
        <w:t xml:space="preserve"> 1 </w:t>
      </w:r>
      <w:r w:rsidR="002972CB" w:rsidRPr="005F6787">
        <w:rPr>
          <w:szCs w:val="21"/>
        </w:rPr>
        <w:t>項の意味で濫用的でもある。これらの取り決めとその実施は、本件の場合、</w:t>
      </w:r>
      <w:r w:rsidR="002972CB" w:rsidRPr="005F6787">
        <w:rPr>
          <w:szCs w:val="21"/>
        </w:rPr>
        <w:t>FB</w:t>
      </w:r>
      <w:r w:rsidR="002972CB" w:rsidRPr="005F6787">
        <w:rPr>
          <w:szCs w:val="21"/>
        </w:rPr>
        <w:t>の特別な市場力の表出（</w:t>
      </w:r>
      <w:r w:rsidR="002972CB" w:rsidRPr="005F6787">
        <w:rPr>
          <w:rFonts w:cs="Arial"/>
          <w:kern w:val="0"/>
          <w:szCs w:val="21"/>
        </w:rPr>
        <w:t>Ausfluss</w:t>
      </w:r>
      <w:r w:rsidR="002972CB" w:rsidRPr="005F6787">
        <w:rPr>
          <w:szCs w:val="21"/>
        </w:rPr>
        <w:t>)</w:t>
      </w:r>
      <w:r w:rsidR="002972CB" w:rsidRPr="005F6787">
        <w:rPr>
          <w:szCs w:val="21"/>
        </w:rPr>
        <w:t>であり、これに基づいて競争侵害的な結論が導かれる」（</w:t>
      </w:r>
      <w:r w:rsidR="002972CB" w:rsidRPr="005F6787">
        <w:rPr>
          <w:szCs w:val="21"/>
        </w:rPr>
        <w:t>Rn.871</w:t>
      </w:r>
      <w:r w:rsidR="002972CB" w:rsidRPr="005F6787">
        <w:rPr>
          <w:szCs w:val="21"/>
        </w:rPr>
        <w:t>以下）</w:t>
      </w:r>
      <w:r w:rsidRPr="005F6787">
        <w:rPr>
          <w:szCs w:val="21"/>
        </w:rPr>
        <w:t>。</w:t>
      </w:r>
    </w:p>
    <w:p w14:paraId="7B494097" w14:textId="1B73FC37" w:rsidR="002972CB" w:rsidRPr="005F6787" w:rsidRDefault="00426BE7" w:rsidP="002711B8">
      <w:pPr>
        <w:ind w:firstLineChars="100" w:firstLine="210"/>
        <w:jc w:val="left"/>
        <w:rPr>
          <w:szCs w:val="21"/>
        </w:rPr>
      </w:pPr>
      <w:r w:rsidRPr="005F6787">
        <w:rPr>
          <w:szCs w:val="21"/>
          <w:shd w:val="clear" w:color="auto" w:fill="FFFFFF"/>
        </w:rPr>
        <w:lastRenderedPageBreak/>
        <w:t>しかし</w:t>
      </w:r>
      <w:r w:rsidR="002972CB" w:rsidRPr="005F6787">
        <w:rPr>
          <w:szCs w:val="21"/>
          <w:shd w:val="clear" w:color="auto" w:fill="FFFFFF"/>
        </w:rPr>
        <w:t>、</w:t>
      </w:r>
      <w:r w:rsidR="002972CB" w:rsidRPr="005F6787">
        <w:rPr>
          <w:rFonts w:cs="Arial"/>
          <w:kern w:val="0"/>
          <w:szCs w:val="21"/>
        </w:rPr>
        <w:t>「</w:t>
      </w:r>
      <w:r w:rsidR="002972CB" w:rsidRPr="005F6787">
        <w:rPr>
          <w:rFonts w:cs="Arial"/>
          <w:kern w:val="0"/>
          <w:szCs w:val="21"/>
        </w:rPr>
        <w:t>(FB</w:t>
      </w:r>
      <w:r w:rsidR="002972CB" w:rsidRPr="005F6787">
        <w:rPr>
          <w:rFonts w:cs="Arial"/>
          <w:kern w:val="0"/>
          <w:szCs w:val="21"/>
        </w:rPr>
        <w:t>に対する手続きにおいて</w:t>
      </w:r>
      <w:r w:rsidR="002972CB" w:rsidRPr="005F6787">
        <w:rPr>
          <w:rFonts w:cs="Arial"/>
          <w:kern w:val="0"/>
          <w:szCs w:val="21"/>
        </w:rPr>
        <w:t>)</w:t>
      </w:r>
      <w:r w:rsidR="002972CB" w:rsidRPr="005F6787">
        <w:rPr>
          <w:rFonts w:cs="Arial"/>
          <w:kern w:val="0"/>
          <w:szCs w:val="21"/>
        </w:rPr>
        <w:t>決定的なことは、データ保護法違反を確定することではない。搾取</w:t>
      </w:r>
      <w:r w:rsidR="00967D5F" w:rsidRPr="005F6787">
        <w:rPr>
          <w:rFonts w:cs="Arial"/>
          <w:kern w:val="0"/>
          <w:szCs w:val="21"/>
        </w:rPr>
        <w:t>的</w:t>
      </w:r>
      <w:r w:rsidR="002972CB" w:rsidRPr="005F6787">
        <w:rPr>
          <w:rFonts w:cs="Arial"/>
          <w:kern w:val="0"/>
          <w:szCs w:val="21"/>
        </w:rPr>
        <w:t>濫用は、むしろ給付と反対給付</w:t>
      </w:r>
      <w:r w:rsidR="002972CB" w:rsidRPr="005F6787">
        <w:rPr>
          <w:szCs w:val="21"/>
        </w:rPr>
        <w:t>Leistung und Gegenleistung</w:t>
      </w:r>
      <w:r w:rsidR="002972CB" w:rsidRPr="005F6787">
        <w:rPr>
          <w:rFonts w:cs="Arial"/>
          <w:kern w:val="0"/>
          <w:szCs w:val="21"/>
        </w:rPr>
        <w:t>の不均衡</w:t>
      </w:r>
      <w:r w:rsidR="002972CB" w:rsidRPr="005F6787">
        <w:rPr>
          <w:szCs w:val="21"/>
        </w:rPr>
        <w:t>（</w:t>
      </w:r>
      <w:r w:rsidR="002972CB" w:rsidRPr="005F6787">
        <w:rPr>
          <w:szCs w:val="21"/>
        </w:rPr>
        <w:t>Unausgewogenheit</w:t>
      </w:r>
      <w:r w:rsidR="002972CB" w:rsidRPr="005F6787">
        <w:rPr>
          <w:szCs w:val="21"/>
        </w:rPr>
        <w:t>）</w:t>
      </w:r>
      <w:r w:rsidR="002972CB" w:rsidRPr="005F6787">
        <w:rPr>
          <w:rFonts w:cs="Arial"/>
          <w:kern w:val="0"/>
          <w:szCs w:val="21"/>
        </w:rPr>
        <w:t>から生じる」</w:t>
      </w:r>
      <w:r w:rsidR="002972CB" w:rsidRPr="005F6787">
        <w:rPr>
          <w:rStyle w:val="ad"/>
          <w:szCs w:val="21"/>
        </w:rPr>
        <w:footnoteReference w:id="20"/>
      </w:r>
      <w:r w:rsidR="002972CB" w:rsidRPr="005F6787">
        <w:rPr>
          <w:szCs w:val="21"/>
        </w:rPr>
        <w:t>。</w:t>
      </w:r>
    </w:p>
    <w:p w14:paraId="443FE627" w14:textId="77777777" w:rsidR="002972CB" w:rsidRPr="005F6787" w:rsidRDefault="002972CB" w:rsidP="002711B8">
      <w:pPr>
        <w:ind w:firstLineChars="100" w:firstLine="210"/>
        <w:jc w:val="left"/>
        <w:rPr>
          <w:szCs w:val="21"/>
        </w:rPr>
      </w:pPr>
      <w:r w:rsidRPr="005F6787">
        <w:rPr>
          <w:szCs w:val="21"/>
        </w:rPr>
        <w:t>すなわち、</w:t>
      </w:r>
      <w:r w:rsidRPr="005F6787">
        <w:rPr>
          <w:szCs w:val="21"/>
        </w:rPr>
        <w:t>GWB</w:t>
      </w:r>
      <w:r w:rsidRPr="005F6787">
        <w:rPr>
          <w:szCs w:val="21"/>
        </w:rPr>
        <w:t>上は、</w:t>
      </w:r>
      <w:r w:rsidRPr="005F6787">
        <w:rPr>
          <w:szCs w:val="21"/>
        </w:rPr>
        <w:t>GDPR</w:t>
      </w:r>
      <w:r w:rsidRPr="005F6787">
        <w:rPr>
          <w:szCs w:val="21"/>
        </w:rPr>
        <w:t>違反それ自体ではなく、それが市場力（ここでは、市場支配的地位と同義）の表出（市場力の行使であることが表れること）と認められることが重要である。市場力の行使による、給付と反対給付の不均衡が濫用と評価されるということである。</w:t>
      </w:r>
    </w:p>
    <w:p w14:paraId="626D4566" w14:textId="77777777" w:rsidR="002972CB" w:rsidRPr="005F6787" w:rsidRDefault="002972CB" w:rsidP="002711B8">
      <w:pPr>
        <w:rPr>
          <w:szCs w:val="21"/>
        </w:rPr>
      </w:pPr>
    </w:p>
    <w:p w14:paraId="150C5517" w14:textId="77777777" w:rsidR="002972CB" w:rsidRPr="005F6787" w:rsidRDefault="006262A1" w:rsidP="001455CD">
      <w:pPr>
        <w:pStyle w:val="2"/>
        <w:rPr>
          <w:rFonts w:asciiTheme="minorHAnsi" w:hAnsiTheme="minorHAnsi"/>
        </w:rPr>
      </w:pPr>
      <w:r w:rsidRPr="005F6787">
        <w:rPr>
          <w:rFonts w:asciiTheme="minorHAnsi" w:hAnsiTheme="minorHAnsi"/>
        </w:rPr>
        <w:t>(6</w:t>
      </w:r>
      <w:r w:rsidR="002972CB" w:rsidRPr="005F6787">
        <w:rPr>
          <w:rFonts w:asciiTheme="minorHAnsi" w:hAnsiTheme="minorHAnsi"/>
        </w:rPr>
        <w:t>)</w:t>
      </w:r>
      <w:r w:rsidR="002972CB" w:rsidRPr="005F6787">
        <w:rPr>
          <w:rFonts w:asciiTheme="minorHAnsi" w:hAnsiTheme="minorHAnsi"/>
        </w:rPr>
        <w:t>依拠した連邦通常裁判所判決</w:t>
      </w:r>
    </w:p>
    <w:p w14:paraId="15291093" w14:textId="77777777" w:rsidR="00D52977" w:rsidRPr="005F6787" w:rsidRDefault="009505F4" w:rsidP="009505F4">
      <w:pPr>
        <w:rPr>
          <w:szCs w:val="21"/>
        </w:rPr>
      </w:pPr>
      <w:r w:rsidRPr="005F6787">
        <w:rPr>
          <w:szCs w:val="21"/>
        </w:rPr>
        <w:t xml:space="preserve">(a) </w:t>
      </w:r>
      <w:r w:rsidR="002972CB" w:rsidRPr="005F6787">
        <w:rPr>
          <w:szCs w:val="21"/>
        </w:rPr>
        <w:t>本決定は、</w:t>
      </w:r>
      <w:r w:rsidR="002972CB" w:rsidRPr="005F6787">
        <w:rPr>
          <w:szCs w:val="21"/>
        </w:rPr>
        <w:t>GDPR</w:t>
      </w:r>
      <w:r w:rsidR="002972CB" w:rsidRPr="005F6787">
        <w:rPr>
          <w:szCs w:val="21"/>
        </w:rPr>
        <w:t>違反と</w:t>
      </w:r>
      <w:r w:rsidR="002972CB" w:rsidRPr="005F6787">
        <w:rPr>
          <w:szCs w:val="21"/>
        </w:rPr>
        <w:t>GWB</w:t>
      </w:r>
      <w:r w:rsidR="002972CB" w:rsidRPr="005F6787">
        <w:rPr>
          <w:szCs w:val="21"/>
        </w:rPr>
        <w:t>上の濫用を結びつけることにつき、</w:t>
      </w:r>
      <w:r w:rsidR="002972CB" w:rsidRPr="005F6787">
        <w:rPr>
          <w:szCs w:val="21"/>
        </w:rPr>
        <w:t xml:space="preserve"> 2</w:t>
      </w:r>
      <w:r w:rsidR="002972CB" w:rsidRPr="005F6787">
        <w:rPr>
          <w:szCs w:val="21"/>
        </w:rPr>
        <w:t>つの連邦通常裁判所（</w:t>
      </w:r>
      <w:r w:rsidR="002972CB" w:rsidRPr="005F6787">
        <w:rPr>
          <w:szCs w:val="21"/>
        </w:rPr>
        <w:t>BGH</w:t>
      </w:r>
      <w:r w:rsidR="002972CB" w:rsidRPr="005F6787">
        <w:rPr>
          <w:szCs w:val="21"/>
        </w:rPr>
        <w:t>＝民事・刑事の最高裁判所）判決を挙げる。</w:t>
      </w:r>
    </w:p>
    <w:p w14:paraId="636D9A3D" w14:textId="17B9608B" w:rsidR="00A12C39" w:rsidRPr="005F6787" w:rsidRDefault="008338AA" w:rsidP="00D52977">
      <w:pPr>
        <w:rPr>
          <w:szCs w:val="21"/>
        </w:rPr>
      </w:pPr>
      <w:r w:rsidRPr="005F6787">
        <w:rPr>
          <w:rFonts w:ascii="ＭＳ 明朝" w:eastAsia="ＭＳ 明朝" w:hAnsi="ＭＳ 明朝" w:cs="ＭＳ 明朝" w:hint="eastAsia"/>
          <w:szCs w:val="21"/>
        </w:rPr>
        <w:t>①</w:t>
      </w:r>
      <w:r w:rsidRPr="005F6787">
        <w:rPr>
          <w:szCs w:val="21"/>
        </w:rPr>
        <w:t xml:space="preserve">　</w:t>
      </w:r>
      <w:r w:rsidR="00D52977" w:rsidRPr="005F6787">
        <w:rPr>
          <w:szCs w:val="21"/>
        </w:rPr>
        <w:t>BGH2013</w:t>
      </w:r>
      <w:r w:rsidR="00D52977" w:rsidRPr="005F6787">
        <w:rPr>
          <w:szCs w:val="21"/>
        </w:rPr>
        <w:t>年</w:t>
      </w:r>
      <w:r w:rsidR="00D52977" w:rsidRPr="005F6787">
        <w:rPr>
          <w:szCs w:val="21"/>
        </w:rPr>
        <w:t>11</w:t>
      </w:r>
      <w:r w:rsidR="00D52977" w:rsidRPr="005F6787">
        <w:rPr>
          <w:szCs w:val="21"/>
        </w:rPr>
        <w:t>月</w:t>
      </w:r>
      <w:r w:rsidR="00D52977" w:rsidRPr="005F6787">
        <w:rPr>
          <w:szCs w:val="21"/>
        </w:rPr>
        <w:t>6</w:t>
      </w:r>
      <w:r w:rsidR="00D52977" w:rsidRPr="005F6787">
        <w:rPr>
          <w:szCs w:val="21"/>
        </w:rPr>
        <w:t>日判決（</w:t>
      </w:r>
      <w:r w:rsidR="00D52977" w:rsidRPr="005F6787">
        <w:rPr>
          <w:szCs w:val="21"/>
        </w:rPr>
        <w:t>VBL-Gegenwert</w:t>
      </w:r>
      <w:r w:rsidR="00D52977" w:rsidRPr="005F6787">
        <w:rPr>
          <w:rFonts w:ascii="ＭＳ 明朝" w:eastAsia="ＭＳ 明朝" w:hAnsi="ＭＳ 明朝" w:cs="ＭＳ 明朝" w:hint="eastAsia"/>
          <w:szCs w:val="21"/>
        </w:rPr>
        <w:t>Ⅰ</w:t>
      </w:r>
      <w:bookmarkStart w:id="4" w:name="_Hlk58741549"/>
      <w:r w:rsidR="00E2728C" w:rsidRPr="005F6787">
        <w:rPr>
          <w:rFonts w:cs="ＭＳ 明朝"/>
          <w:szCs w:val="21"/>
        </w:rPr>
        <w:t>事件＝</w:t>
      </w:r>
      <w:r w:rsidR="00E2728C" w:rsidRPr="005F6787">
        <w:t>BGH, Urtl. v.06.11.2013 KZR 58/11,BGHZ 199,1</w:t>
      </w:r>
      <w:r w:rsidR="00D52977" w:rsidRPr="005F6787">
        <w:rPr>
          <w:szCs w:val="21"/>
        </w:rPr>
        <w:t>.</w:t>
      </w:r>
      <w:bookmarkEnd w:id="4"/>
      <w:r w:rsidR="00D52977" w:rsidRPr="005F6787">
        <w:rPr>
          <w:szCs w:val="21"/>
        </w:rPr>
        <w:t>その後、</w:t>
      </w:r>
      <w:r w:rsidR="00D52977" w:rsidRPr="005F6787">
        <w:rPr>
          <w:szCs w:val="21"/>
        </w:rPr>
        <w:t>2017</w:t>
      </w:r>
      <w:r w:rsidR="00D52977" w:rsidRPr="005F6787">
        <w:rPr>
          <w:szCs w:val="21"/>
        </w:rPr>
        <w:t>年</w:t>
      </w:r>
      <w:r w:rsidR="00D52977" w:rsidRPr="005F6787">
        <w:rPr>
          <w:szCs w:val="21"/>
        </w:rPr>
        <w:t>1</w:t>
      </w:r>
      <w:r w:rsidR="00D52977" w:rsidRPr="005F6787">
        <w:rPr>
          <w:szCs w:val="21"/>
        </w:rPr>
        <w:t>月</w:t>
      </w:r>
      <w:r w:rsidR="00D52977" w:rsidRPr="005F6787">
        <w:rPr>
          <w:szCs w:val="21"/>
        </w:rPr>
        <w:t>24</w:t>
      </w:r>
      <w:r w:rsidR="00D52977" w:rsidRPr="005F6787">
        <w:rPr>
          <w:szCs w:val="21"/>
        </w:rPr>
        <w:t>日判決</w:t>
      </w:r>
      <w:r w:rsidR="00A12C39" w:rsidRPr="005F6787">
        <w:rPr>
          <w:szCs w:val="21"/>
        </w:rPr>
        <w:t>＝</w:t>
      </w:r>
      <w:r w:rsidR="00D52977" w:rsidRPr="005F6787">
        <w:rPr>
          <w:szCs w:val="21"/>
        </w:rPr>
        <w:t>VBL-Gegenwert</w:t>
      </w:r>
      <w:r w:rsidR="00D52977" w:rsidRPr="005F6787">
        <w:rPr>
          <w:rFonts w:ascii="ＭＳ 明朝" w:eastAsia="ＭＳ 明朝" w:hAnsi="ＭＳ 明朝" w:cs="ＭＳ 明朝" w:hint="eastAsia"/>
          <w:szCs w:val="21"/>
        </w:rPr>
        <w:t>Ⅱ</w:t>
      </w:r>
      <w:r w:rsidR="00A12C39" w:rsidRPr="005F6787">
        <w:rPr>
          <w:rFonts w:cs="ＭＳ 明朝"/>
          <w:szCs w:val="21"/>
        </w:rPr>
        <w:t>が出た</w:t>
      </w:r>
      <w:r w:rsidR="0008408A" w:rsidRPr="005F6787">
        <w:rPr>
          <w:rFonts w:cs="ＭＳ 明朝"/>
          <w:szCs w:val="21"/>
        </w:rPr>
        <w:t>が</w:t>
      </w:r>
      <w:r w:rsidR="00A12C39" w:rsidRPr="005F6787">
        <w:rPr>
          <w:rFonts w:cs="ＭＳ 明朝"/>
          <w:szCs w:val="21"/>
        </w:rPr>
        <w:t>、</w:t>
      </w:r>
      <w:r w:rsidR="00A12C39" w:rsidRPr="005F6787">
        <w:rPr>
          <w:szCs w:val="21"/>
        </w:rPr>
        <w:t>本決定が引いているのは前者だけである）</w:t>
      </w:r>
    </w:p>
    <w:p w14:paraId="7EC2F0E5" w14:textId="0EF7BFD4" w:rsidR="00D52977" w:rsidRPr="005F6787" w:rsidRDefault="008338AA" w:rsidP="00E2728C">
      <w:pPr>
        <w:ind w:left="210"/>
        <w:rPr>
          <w:szCs w:val="21"/>
        </w:rPr>
      </w:pPr>
      <w:r w:rsidRPr="005F6787">
        <w:rPr>
          <w:rFonts w:ascii="ＭＳ 明朝" w:eastAsia="ＭＳ 明朝" w:hAnsi="ＭＳ 明朝" w:cs="ＭＳ 明朝" w:hint="eastAsia"/>
          <w:szCs w:val="21"/>
        </w:rPr>
        <w:t>②</w:t>
      </w:r>
      <w:r w:rsidRPr="005F6787">
        <w:rPr>
          <w:rFonts w:cs="ＭＳ 明朝"/>
          <w:szCs w:val="21"/>
        </w:rPr>
        <w:t xml:space="preserve">　</w:t>
      </w:r>
      <w:r w:rsidR="00A12C39" w:rsidRPr="005F6787">
        <w:rPr>
          <w:szCs w:val="21"/>
        </w:rPr>
        <w:t xml:space="preserve">BGH </w:t>
      </w:r>
      <w:r w:rsidR="00D52977" w:rsidRPr="005F6787">
        <w:rPr>
          <w:szCs w:val="21"/>
        </w:rPr>
        <w:t>2016</w:t>
      </w:r>
      <w:r w:rsidR="00D52977" w:rsidRPr="005F6787">
        <w:rPr>
          <w:szCs w:val="21"/>
        </w:rPr>
        <w:t>年</w:t>
      </w:r>
      <w:r w:rsidR="00D52977" w:rsidRPr="005F6787">
        <w:rPr>
          <w:szCs w:val="21"/>
        </w:rPr>
        <w:t>6</w:t>
      </w:r>
      <w:r w:rsidR="00D52977" w:rsidRPr="005F6787">
        <w:rPr>
          <w:szCs w:val="21"/>
        </w:rPr>
        <w:t>月</w:t>
      </w:r>
      <w:r w:rsidR="00D52977" w:rsidRPr="005F6787">
        <w:rPr>
          <w:szCs w:val="21"/>
        </w:rPr>
        <w:t>7</w:t>
      </w:r>
      <w:r w:rsidR="00D52977" w:rsidRPr="005F6787">
        <w:rPr>
          <w:szCs w:val="21"/>
        </w:rPr>
        <w:t>日判決（</w:t>
      </w:r>
      <w:r w:rsidR="00D52977" w:rsidRPr="005F6787">
        <w:rPr>
          <w:szCs w:val="21"/>
        </w:rPr>
        <w:t>Pechstein</w:t>
      </w:r>
      <w:bookmarkStart w:id="5" w:name="_Hlk58741594"/>
      <w:r w:rsidR="00E2728C" w:rsidRPr="005F6787">
        <w:rPr>
          <w:szCs w:val="21"/>
        </w:rPr>
        <w:t>事件＝</w:t>
      </w:r>
      <w:r w:rsidR="00E2728C" w:rsidRPr="005F6787">
        <w:t xml:space="preserve">BGH, Urtl. v.07.06.2016 - KZR 6/15 </w:t>
      </w:r>
      <w:r w:rsidR="00A12C39" w:rsidRPr="005F6787">
        <w:rPr>
          <w:szCs w:val="21"/>
        </w:rPr>
        <w:t>）</w:t>
      </w:r>
    </w:p>
    <w:bookmarkEnd w:id="5"/>
    <w:p w14:paraId="17A0801F" w14:textId="77777777" w:rsidR="00426BE7" w:rsidRPr="005F6787" w:rsidRDefault="00426BE7" w:rsidP="009505F4">
      <w:pPr>
        <w:autoSpaceDE w:val="0"/>
        <w:autoSpaceDN w:val="0"/>
        <w:adjustRightInd w:val="0"/>
        <w:ind w:firstLineChars="100" w:firstLine="210"/>
        <w:jc w:val="left"/>
        <w:rPr>
          <w:szCs w:val="21"/>
        </w:rPr>
      </w:pPr>
      <w:r w:rsidRPr="005F6787">
        <w:rPr>
          <w:szCs w:val="21"/>
        </w:rPr>
        <w:t>これらの判決につき、本決定は次のように述べる。</w:t>
      </w:r>
    </w:p>
    <w:p w14:paraId="035FF3B7" w14:textId="77777777" w:rsidR="002972CB" w:rsidRPr="005F6787" w:rsidRDefault="002972CB" w:rsidP="009505F4">
      <w:pPr>
        <w:autoSpaceDE w:val="0"/>
        <w:autoSpaceDN w:val="0"/>
        <w:adjustRightInd w:val="0"/>
        <w:ind w:firstLineChars="100" w:firstLine="210"/>
        <w:jc w:val="left"/>
        <w:rPr>
          <w:b/>
          <w:szCs w:val="21"/>
        </w:rPr>
      </w:pPr>
      <w:r w:rsidRPr="005F6787">
        <w:rPr>
          <w:szCs w:val="21"/>
        </w:rPr>
        <w:t>「</w:t>
      </w:r>
      <w:r w:rsidRPr="005F6787">
        <w:rPr>
          <w:szCs w:val="21"/>
        </w:rPr>
        <w:t>BGH</w:t>
      </w:r>
      <w:r w:rsidRPr="005F6787">
        <w:rPr>
          <w:szCs w:val="21"/>
        </w:rPr>
        <w:t>の</w:t>
      </w:r>
      <w:r w:rsidRPr="005F6787">
        <w:rPr>
          <w:szCs w:val="21"/>
        </w:rPr>
        <w:t>VBL-Gegenwert</w:t>
      </w:r>
      <w:r w:rsidRPr="005F6787">
        <w:rPr>
          <w:szCs w:val="21"/>
        </w:rPr>
        <w:t>判決によれば、例えばドイツ民法</w:t>
      </w:r>
      <w:r w:rsidRPr="005F6787">
        <w:rPr>
          <w:szCs w:val="21"/>
        </w:rPr>
        <w:t>(</w:t>
      </w:r>
      <w:r w:rsidRPr="005F6787">
        <w:rPr>
          <w:szCs w:val="21"/>
        </w:rPr>
        <w:t>以下，</w:t>
      </w:r>
      <w:r w:rsidRPr="005F6787">
        <w:rPr>
          <w:szCs w:val="21"/>
        </w:rPr>
        <w:t>BGB)307</w:t>
      </w:r>
      <w:r w:rsidRPr="005F6787">
        <w:rPr>
          <w:szCs w:val="21"/>
        </w:rPr>
        <w:t>条以下の法的評価によれば許容されない普通取引約款が用いられている場合，それに加え、特にそれが市場力または優越的市場地位の表出をも示している場合には、</w:t>
      </w:r>
      <w:r w:rsidRPr="005F6787">
        <w:rPr>
          <w:szCs w:val="21"/>
        </w:rPr>
        <w:t>GWB 19</w:t>
      </w:r>
      <w:r w:rsidRPr="005F6787">
        <w:rPr>
          <w:szCs w:val="21"/>
        </w:rPr>
        <w:t>条</w:t>
      </w:r>
      <w:r w:rsidRPr="005F6787">
        <w:rPr>
          <w:szCs w:val="21"/>
        </w:rPr>
        <w:t>1</w:t>
      </w:r>
      <w:r w:rsidRPr="005F6787">
        <w:rPr>
          <w:szCs w:val="21"/>
        </w:rPr>
        <w:t>項の一般条項に基づいて濫用と認めることができる。</w:t>
      </w:r>
    </w:p>
    <w:p w14:paraId="13156DC7" w14:textId="77777777" w:rsidR="002972CB" w:rsidRPr="005F6787" w:rsidRDefault="002972CB" w:rsidP="002711B8">
      <w:pPr>
        <w:rPr>
          <w:szCs w:val="21"/>
        </w:rPr>
      </w:pPr>
      <w:r w:rsidRPr="005F6787">
        <w:rPr>
          <w:szCs w:val="21"/>
        </w:rPr>
        <w:t xml:space="preserve">　</w:t>
      </w:r>
      <w:r w:rsidRPr="005F6787">
        <w:rPr>
          <w:rFonts w:cs="Arial"/>
          <w:szCs w:val="21"/>
          <w:shd w:val="clear" w:color="auto" w:fill="FFFFFF"/>
        </w:rPr>
        <w:t>Pechstein</w:t>
      </w:r>
      <w:r w:rsidRPr="005F6787">
        <w:rPr>
          <w:rFonts w:cs="Arial"/>
          <w:szCs w:val="21"/>
          <w:shd w:val="clear" w:color="auto" w:fill="FFFFFF"/>
        </w:rPr>
        <w:t>事件において、</w:t>
      </w:r>
      <w:r w:rsidRPr="005F6787">
        <w:rPr>
          <w:szCs w:val="21"/>
        </w:rPr>
        <w:t>BGH</w:t>
      </w:r>
      <w:r w:rsidRPr="005F6787">
        <w:rPr>
          <w:szCs w:val="21"/>
        </w:rPr>
        <w:t>は、条件濫用が</w:t>
      </w:r>
      <w:r w:rsidRPr="005F6787">
        <w:rPr>
          <w:szCs w:val="21"/>
        </w:rPr>
        <w:t>GWB 19</w:t>
      </w:r>
      <w:r w:rsidRPr="005F6787">
        <w:rPr>
          <w:szCs w:val="21"/>
        </w:rPr>
        <w:t>条</w:t>
      </w:r>
      <w:r w:rsidRPr="005F6787">
        <w:rPr>
          <w:szCs w:val="21"/>
        </w:rPr>
        <w:t>1</w:t>
      </w:r>
      <w:r w:rsidRPr="005F6787">
        <w:rPr>
          <w:szCs w:val="21"/>
        </w:rPr>
        <w:t>項か同項</w:t>
      </w:r>
      <w:r w:rsidRPr="005F6787">
        <w:rPr>
          <w:szCs w:val="21"/>
        </w:rPr>
        <w:t>2</w:t>
      </w:r>
      <w:r w:rsidRPr="005F6787">
        <w:rPr>
          <w:szCs w:val="21"/>
        </w:rPr>
        <w:t>号のいずれに基づくかを問わず、いずれにせよ基本法上の地位を考慮することも含む</w:t>
      </w:r>
      <w:r w:rsidRPr="005F6787">
        <w:rPr>
          <w:szCs w:val="21"/>
          <w:u w:val="single"/>
        </w:rPr>
        <w:t>包括的な利益衡量</w:t>
      </w:r>
      <w:r w:rsidRPr="005F6787">
        <w:rPr>
          <w:szCs w:val="21"/>
        </w:rPr>
        <w:t>が必要であるとした。これによれば、</w:t>
      </w:r>
      <w:r w:rsidRPr="005F6787">
        <w:rPr>
          <w:szCs w:val="21"/>
          <w:u w:val="single"/>
        </w:rPr>
        <w:t>契約当事者の一方が契約条項を事実上一方的に設定できる顕著な優位性を有し、相手方契約当事者には他者決定（</w:t>
      </w:r>
      <w:r w:rsidRPr="005F6787">
        <w:rPr>
          <w:szCs w:val="21"/>
          <w:u w:val="single"/>
        </w:rPr>
        <w:t>Fremdbestimmung</w:t>
      </w:r>
      <w:r w:rsidRPr="005F6787">
        <w:rPr>
          <w:szCs w:val="21"/>
          <w:u w:val="single"/>
        </w:rPr>
        <w:t>）として働く場合には、基本権保護</w:t>
      </w:r>
      <w:r w:rsidR="00815C6D" w:rsidRPr="005F6787">
        <w:rPr>
          <w:szCs w:val="21"/>
          <w:u w:val="single"/>
        </w:rPr>
        <w:t>（</w:t>
      </w:r>
      <w:r w:rsidRPr="005F6787">
        <w:rPr>
          <w:rFonts w:cs="Arial"/>
          <w:kern w:val="0"/>
          <w:szCs w:val="21"/>
        </w:rPr>
        <w:t>Grundrechtschutz</w:t>
      </w:r>
      <w:r w:rsidR="00815C6D" w:rsidRPr="005F6787">
        <w:rPr>
          <w:rFonts w:cs="Arial"/>
          <w:kern w:val="0"/>
          <w:szCs w:val="21"/>
        </w:rPr>
        <w:t>）</w:t>
      </w:r>
      <w:r w:rsidRPr="005F6787">
        <w:rPr>
          <w:szCs w:val="21"/>
          <w:u w:val="single"/>
        </w:rPr>
        <w:t>を実現するために</w:t>
      </w:r>
      <w:r w:rsidRPr="005F6787">
        <w:rPr>
          <w:szCs w:val="21"/>
        </w:rPr>
        <w:t>、</w:t>
      </w:r>
      <w:r w:rsidRPr="005F6787">
        <w:rPr>
          <w:szCs w:val="21"/>
        </w:rPr>
        <w:t>GWB 19</w:t>
      </w:r>
      <w:r w:rsidRPr="005F6787">
        <w:rPr>
          <w:szCs w:val="21"/>
        </w:rPr>
        <w:t>条の適用を考慮すべきである」。</w:t>
      </w:r>
    </w:p>
    <w:p w14:paraId="38212AE8" w14:textId="77777777" w:rsidR="002972CB" w:rsidRPr="005F6787" w:rsidRDefault="002972CB" w:rsidP="002711B8">
      <w:pPr>
        <w:rPr>
          <w:b/>
          <w:szCs w:val="21"/>
        </w:rPr>
      </w:pPr>
      <w:r w:rsidRPr="005F6787">
        <w:rPr>
          <w:b/>
          <w:szCs w:val="21"/>
        </w:rPr>
        <w:t xml:space="preserve">　</w:t>
      </w:r>
      <w:r w:rsidRPr="005F6787">
        <w:rPr>
          <w:szCs w:val="21"/>
        </w:rPr>
        <w:t>「このような状況の下で、</w:t>
      </w:r>
      <w:r w:rsidRPr="005F6787">
        <w:rPr>
          <w:szCs w:val="21"/>
          <w:u w:val="single"/>
        </w:rPr>
        <w:t>市場支配的事業者が基本権を保障される地位を恣意的に行使する場合には、基本権保護を実現するために</w:t>
      </w:r>
      <w:r w:rsidRPr="005F6787">
        <w:rPr>
          <w:szCs w:val="21"/>
        </w:rPr>
        <w:t>、国家的規制</w:t>
      </w:r>
      <w:r w:rsidRPr="005F6787">
        <w:rPr>
          <w:szCs w:val="21"/>
        </w:rPr>
        <w:t>----</w:t>
      </w:r>
      <w:r w:rsidRPr="005F6787">
        <w:rPr>
          <w:szCs w:val="21"/>
        </w:rPr>
        <w:t>特に</w:t>
      </w:r>
      <w:r w:rsidRPr="005F6787">
        <w:rPr>
          <w:szCs w:val="21"/>
          <w:u w:val="single"/>
        </w:rPr>
        <w:t>私法上の一般条項</w:t>
      </w:r>
      <w:r w:rsidR="00CF3D43" w:rsidRPr="005F6787">
        <w:rPr>
          <w:rFonts w:cs="Arial"/>
          <w:kern w:val="0"/>
          <w:szCs w:val="21"/>
        </w:rPr>
        <w:t>(§§ 138, 242, 307, 315 BGB),</w:t>
      </w:r>
      <w:r w:rsidRPr="005F6787">
        <w:rPr>
          <w:szCs w:val="21"/>
          <w:u w:val="single"/>
        </w:rPr>
        <w:t>、その中には</w:t>
      </w:r>
      <w:r w:rsidRPr="005F6787">
        <w:rPr>
          <w:szCs w:val="21"/>
          <w:u w:val="single"/>
        </w:rPr>
        <w:t xml:space="preserve">GWB 19 </w:t>
      </w:r>
      <w:r w:rsidRPr="005F6787">
        <w:rPr>
          <w:szCs w:val="21"/>
          <w:u w:val="single"/>
        </w:rPr>
        <w:t>条も含まれる</w:t>
      </w:r>
      <w:r w:rsidRPr="005F6787">
        <w:rPr>
          <w:szCs w:val="21"/>
        </w:rPr>
        <w:t>-----</w:t>
      </w:r>
      <w:r w:rsidRPr="005F6787">
        <w:rPr>
          <w:szCs w:val="21"/>
        </w:rPr>
        <w:t>が、調整的に介入する必要がある。」（</w:t>
      </w:r>
      <w:r w:rsidRPr="005F6787">
        <w:rPr>
          <w:b/>
          <w:szCs w:val="21"/>
        </w:rPr>
        <w:t>Rn.527</w:t>
      </w:r>
      <w:r w:rsidR="00A12C39" w:rsidRPr="005F6787">
        <w:rPr>
          <w:b/>
          <w:szCs w:val="21"/>
        </w:rPr>
        <w:t>.</w:t>
      </w:r>
      <w:r w:rsidR="00A12C39" w:rsidRPr="005F6787">
        <w:rPr>
          <w:szCs w:val="21"/>
        </w:rPr>
        <w:t xml:space="preserve"> </w:t>
      </w:r>
      <w:r w:rsidR="00A12C39" w:rsidRPr="005F6787">
        <w:rPr>
          <w:szCs w:val="21"/>
        </w:rPr>
        <w:t>文中の下線は舟田が付した</w:t>
      </w:r>
      <w:r w:rsidRPr="005F6787">
        <w:rPr>
          <w:b/>
          <w:szCs w:val="21"/>
        </w:rPr>
        <w:t>）</w:t>
      </w:r>
    </w:p>
    <w:p w14:paraId="6B77E849" w14:textId="77777777" w:rsidR="009505F4" w:rsidRPr="005F6787" w:rsidRDefault="009505F4" w:rsidP="002711B8">
      <w:pPr>
        <w:rPr>
          <w:szCs w:val="21"/>
        </w:rPr>
      </w:pPr>
    </w:p>
    <w:p w14:paraId="721728D6" w14:textId="77777777" w:rsidR="002972CB" w:rsidRPr="005F6787" w:rsidRDefault="009505F4" w:rsidP="009505F4">
      <w:pPr>
        <w:autoSpaceDE w:val="0"/>
        <w:autoSpaceDN w:val="0"/>
        <w:adjustRightInd w:val="0"/>
        <w:jc w:val="left"/>
        <w:rPr>
          <w:szCs w:val="21"/>
        </w:rPr>
      </w:pPr>
      <w:r w:rsidRPr="005F6787">
        <w:rPr>
          <w:szCs w:val="21"/>
        </w:rPr>
        <w:lastRenderedPageBreak/>
        <w:t>(b)</w:t>
      </w:r>
      <w:r w:rsidRPr="005F6787">
        <w:rPr>
          <w:szCs w:val="21"/>
        </w:rPr>
        <w:t xml:space="preserve">　</w:t>
      </w:r>
      <w:r w:rsidR="002972CB" w:rsidRPr="005F6787">
        <w:rPr>
          <w:szCs w:val="21"/>
        </w:rPr>
        <w:t>ここでは、条件濫用となるのは、次の</w:t>
      </w:r>
      <w:r w:rsidR="002972CB" w:rsidRPr="005F6787">
        <w:rPr>
          <w:szCs w:val="21"/>
        </w:rPr>
        <w:t>2</w:t>
      </w:r>
      <w:r w:rsidR="002972CB" w:rsidRPr="005F6787">
        <w:rPr>
          <w:szCs w:val="21"/>
        </w:rPr>
        <w:t>つの要素が揃ったときであるとされている</w:t>
      </w:r>
      <w:r w:rsidR="002972CB" w:rsidRPr="005F6787">
        <w:rPr>
          <w:szCs w:val="21"/>
        </w:rPr>
        <w:t>(</w:t>
      </w:r>
      <w:r w:rsidR="002972CB" w:rsidRPr="005F6787">
        <w:rPr>
          <w:szCs w:val="21"/>
        </w:rPr>
        <w:t>以下、「</w:t>
      </w:r>
      <w:r w:rsidR="002972CB" w:rsidRPr="005F6787">
        <w:rPr>
          <w:szCs w:val="21"/>
        </w:rPr>
        <w:t>2</w:t>
      </w:r>
      <w:r w:rsidR="002972CB" w:rsidRPr="005F6787">
        <w:rPr>
          <w:szCs w:val="21"/>
        </w:rPr>
        <w:t>重の評価」と呼ぶ</w:t>
      </w:r>
      <w:r w:rsidR="002972CB" w:rsidRPr="005F6787">
        <w:rPr>
          <w:szCs w:val="21"/>
        </w:rPr>
        <w:t>)</w:t>
      </w:r>
      <w:r w:rsidR="002972CB" w:rsidRPr="005F6787">
        <w:rPr>
          <w:szCs w:val="21"/>
        </w:rPr>
        <w:t>。</w:t>
      </w:r>
    </w:p>
    <w:p w14:paraId="7D867E5E" w14:textId="77777777" w:rsidR="002972CB" w:rsidRPr="005F6787" w:rsidRDefault="002972CB" w:rsidP="00815C6D">
      <w:pPr>
        <w:rPr>
          <w:szCs w:val="21"/>
        </w:rPr>
      </w:pPr>
      <w:r w:rsidRPr="005F6787">
        <w:rPr>
          <w:rFonts w:ascii="ＭＳ 明朝" w:eastAsia="ＭＳ 明朝" w:hAnsi="ＭＳ 明朝" w:cs="ＭＳ 明朝" w:hint="eastAsia"/>
          <w:szCs w:val="21"/>
        </w:rPr>
        <w:t>①</w:t>
      </w:r>
      <w:r w:rsidRPr="005F6787">
        <w:rPr>
          <w:szCs w:val="21"/>
        </w:rPr>
        <w:t xml:space="preserve"> GDPR</w:t>
      </w:r>
      <w:r w:rsidRPr="005F6787">
        <w:rPr>
          <w:szCs w:val="21"/>
        </w:rPr>
        <w:t>違反、または、民法</w:t>
      </w:r>
      <w:r w:rsidRPr="005F6787">
        <w:rPr>
          <w:szCs w:val="21"/>
        </w:rPr>
        <w:t>307</w:t>
      </w:r>
      <w:r w:rsidRPr="005F6787">
        <w:rPr>
          <w:szCs w:val="21"/>
        </w:rPr>
        <w:t>条以下の法的評価によって、基本権保護が要請される場合。</w:t>
      </w:r>
    </w:p>
    <w:p w14:paraId="2BAADA41" w14:textId="77777777" w:rsidR="00534BF5" w:rsidRPr="005F6787" w:rsidRDefault="002972CB" w:rsidP="00815C6D">
      <w:pPr>
        <w:ind w:firstLineChars="100" w:firstLine="210"/>
        <w:rPr>
          <w:szCs w:val="21"/>
        </w:rPr>
      </w:pPr>
      <w:r w:rsidRPr="005F6787">
        <w:rPr>
          <w:szCs w:val="21"/>
        </w:rPr>
        <w:t>なお、ここで、民法</w:t>
      </w:r>
      <w:r w:rsidRPr="005F6787">
        <w:rPr>
          <w:szCs w:val="21"/>
        </w:rPr>
        <w:t>307</w:t>
      </w:r>
      <w:r w:rsidRPr="005F6787">
        <w:rPr>
          <w:szCs w:val="21"/>
        </w:rPr>
        <w:t>条以下とは、約款の内容規制（</w:t>
      </w:r>
      <w:r w:rsidRPr="005F6787">
        <w:rPr>
          <w:szCs w:val="21"/>
        </w:rPr>
        <w:t>Inhaltskontrol</w:t>
      </w:r>
      <w:r w:rsidRPr="005F6787">
        <w:rPr>
          <w:szCs w:val="21"/>
        </w:rPr>
        <w:t>）に関する</w:t>
      </w:r>
      <w:r w:rsidRPr="005F6787">
        <w:rPr>
          <w:szCs w:val="21"/>
        </w:rPr>
        <w:t>307</w:t>
      </w:r>
      <w:r w:rsidRPr="005F6787">
        <w:rPr>
          <w:szCs w:val="21"/>
        </w:rPr>
        <w:t>条から</w:t>
      </w:r>
      <w:r w:rsidRPr="005F6787">
        <w:rPr>
          <w:szCs w:val="21"/>
        </w:rPr>
        <w:t>310</w:t>
      </w:r>
      <w:r w:rsidRPr="005F6787">
        <w:rPr>
          <w:szCs w:val="21"/>
        </w:rPr>
        <w:t>条までを指すと推測される。このうち、特に</w:t>
      </w:r>
      <w:r w:rsidRPr="005F6787">
        <w:rPr>
          <w:szCs w:val="21"/>
        </w:rPr>
        <w:t>307</w:t>
      </w:r>
      <w:r w:rsidRPr="005F6787">
        <w:rPr>
          <w:szCs w:val="21"/>
        </w:rPr>
        <w:t>条</w:t>
      </w:r>
      <w:r w:rsidRPr="005F6787">
        <w:rPr>
          <w:szCs w:val="21"/>
        </w:rPr>
        <w:t>1</w:t>
      </w:r>
      <w:r w:rsidRPr="005F6787">
        <w:rPr>
          <w:szCs w:val="21"/>
        </w:rPr>
        <w:t>項は、次のように定められている。</w:t>
      </w:r>
    </w:p>
    <w:p w14:paraId="5483BE10" w14:textId="77777777" w:rsidR="002972CB" w:rsidRPr="005F6787" w:rsidRDefault="002972CB" w:rsidP="00815C6D">
      <w:pPr>
        <w:ind w:firstLineChars="100" w:firstLine="210"/>
        <w:rPr>
          <w:szCs w:val="21"/>
        </w:rPr>
      </w:pPr>
      <w:r w:rsidRPr="005F6787">
        <w:rPr>
          <w:szCs w:val="21"/>
        </w:rPr>
        <w:t>「約款中の条項は，当該条項が信義誠実の要請に反して約款使用者の契約相手方を不相当に不利益に取り扱うときは，無効とする。不相当な不利益は，条項が明確でなく，または平易でないことからも生ずる。」</w:t>
      </w:r>
      <w:r w:rsidRPr="005F6787">
        <w:rPr>
          <w:szCs w:val="21"/>
        </w:rPr>
        <w:footnoteReference w:id="21"/>
      </w:r>
    </w:p>
    <w:p w14:paraId="5D1F4C78" w14:textId="77777777" w:rsidR="002972CB" w:rsidRPr="005F6787" w:rsidRDefault="002972CB" w:rsidP="00815C6D">
      <w:pPr>
        <w:rPr>
          <w:szCs w:val="21"/>
        </w:rPr>
      </w:pPr>
      <w:r w:rsidRPr="005F6787">
        <w:rPr>
          <w:rFonts w:ascii="ＭＳ 明朝" w:eastAsia="ＭＳ 明朝" w:hAnsi="ＭＳ 明朝" w:cs="ＭＳ 明朝" w:hint="eastAsia"/>
          <w:szCs w:val="21"/>
        </w:rPr>
        <w:t>②</w:t>
      </w:r>
      <w:r w:rsidRPr="005F6787">
        <w:rPr>
          <w:szCs w:val="21"/>
        </w:rPr>
        <w:t xml:space="preserve"> </w:t>
      </w:r>
      <w:r w:rsidRPr="005F6787">
        <w:rPr>
          <w:szCs w:val="21"/>
        </w:rPr>
        <w:t>当該行為が市場力または優越的市場地位</w:t>
      </w:r>
      <w:r w:rsidRPr="005F6787">
        <w:rPr>
          <w:szCs w:val="21"/>
        </w:rPr>
        <w:t>(GWB18</w:t>
      </w:r>
      <w:r w:rsidRPr="005F6787">
        <w:rPr>
          <w:szCs w:val="21"/>
        </w:rPr>
        <w:t>条</w:t>
      </w:r>
      <w:r w:rsidRPr="005F6787">
        <w:rPr>
          <w:szCs w:val="21"/>
        </w:rPr>
        <w:t>1</w:t>
      </w:r>
      <w:r w:rsidRPr="005F6787">
        <w:rPr>
          <w:szCs w:val="21"/>
        </w:rPr>
        <w:t>項</w:t>
      </w:r>
      <w:r w:rsidRPr="005F6787">
        <w:rPr>
          <w:szCs w:val="21"/>
        </w:rPr>
        <w:t>3</w:t>
      </w:r>
      <w:r w:rsidRPr="005F6787">
        <w:rPr>
          <w:szCs w:val="21"/>
        </w:rPr>
        <w:t>号</w:t>
      </w:r>
      <w:r w:rsidRPr="005F6787">
        <w:rPr>
          <w:szCs w:val="21"/>
        </w:rPr>
        <w:t>)</w:t>
      </w:r>
      <w:r w:rsidRPr="005F6787">
        <w:rPr>
          <w:szCs w:val="21"/>
        </w:rPr>
        <w:t>の表出として認められる場合</w:t>
      </w:r>
    </w:p>
    <w:p w14:paraId="14C57D93" w14:textId="77777777" w:rsidR="0008408A" w:rsidRPr="005F6787" w:rsidRDefault="0008408A" w:rsidP="0008408A">
      <w:pPr>
        <w:ind w:firstLineChars="100" w:firstLine="210"/>
        <w:rPr>
          <w:szCs w:val="21"/>
        </w:rPr>
      </w:pPr>
      <w:r w:rsidRPr="005F6787">
        <w:rPr>
          <w:szCs w:val="21"/>
        </w:rPr>
        <w:t>ここで「市場力」（</w:t>
      </w:r>
      <w:r w:rsidRPr="005F6787">
        <w:rPr>
          <w:szCs w:val="21"/>
        </w:rPr>
        <w:t>Marktmacht</w:t>
      </w:r>
      <w:r w:rsidRPr="005F6787">
        <w:rPr>
          <w:szCs w:val="21"/>
        </w:rPr>
        <w:t>）、「市場優越的地位」（</w:t>
      </w:r>
      <w:r w:rsidRPr="005F6787">
        <w:rPr>
          <w:szCs w:val="21"/>
        </w:rPr>
        <w:t>großen Machtüberlegenheit</w:t>
      </w:r>
      <w:r w:rsidRPr="005F6787">
        <w:rPr>
          <w:szCs w:val="21"/>
        </w:rPr>
        <w:t>）は、それぞれ、「市場支配的地位」の定義規定である</w:t>
      </w:r>
      <w:r w:rsidRPr="005F6787">
        <w:rPr>
          <w:szCs w:val="21"/>
        </w:rPr>
        <w:t>GWB18</w:t>
      </w:r>
      <w:r w:rsidRPr="005F6787">
        <w:rPr>
          <w:szCs w:val="21"/>
        </w:rPr>
        <w:t>条の</w:t>
      </w:r>
      <w:r w:rsidRPr="005F6787">
        <w:rPr>
          <w:szCs w:val="21"/>
        </w:rPr>
        <w:t>1</w:t>
      </w:r>
      <w:r w:rsidRPr="005F6787">
        <w:rPr>
          <w:szCs w:val="21"/>
        </w:rPr>
        <w:t>項・</w:t>
      </w:r>
      <w:r w:rsidRPr="005F6787">
        <w:rPr>
          <w:szCs w:val="21"/>
        </w:rPr>
        <w:t>2</w:t>
      </w:r>
      <w:r w:rsidRPr="005F6787">
        <w:rPr>
          <w:szCs w:val="21"/>
        </w:rPr>
        <w:t>項に当たる場合と、同条</w:t>
      </w:r>
      <w:r w:rsidRPr="005F6787">
        <w:rPr>
          <w:szCs w:val="21"/>
        </w:rPr>
        <w:t>1</w:t>
      </w:r>
      <w:r w:rsidRPr="005F6787">
        <w:rPr>
          <w:szCs w:val="21"/>
        </w:rPr>
        <w:t>項</w:t>
      </w:r>
      <w:r w:rsidRPr="005F6787">
        <w:rPr>
          <w:szCs w:val="21"/>
        </w:rPr>
        <w:t>3</w:t>
      </w:r>
      <w:r w:rsidRPr="005F6787">
        <w:rPr>
          <w:szCs w:val="21"/>
        </w:rPr>
        <w:t>号を指している。両者を合わせて、「市場支配的地位」または「市場力」、「市場支配力」とも呼ばれる。</w:t>
      </w:r>
    </w:p>
    <w:p w14:paraId="776F2C0B" w14:textId="77777777" w:rsidR="009505F4" w:rsidRPr="005F6787" w:rsidRDefault="009505F4" w:rsidP="00A059AA">
      <w:pPr>
        <w:ind w:firstLineChars="100" w:firstLine="210"/>
        <w:rPr>
          <w:szCs w:val="21"/>
        </w:rPr>
      </w:pPr>
    </w:p>
    <w:p w14:paraId="7EF9924F" w14:textId="77777777" w:rsidR="00A059AA" w:rsidRPr="005F6787" w:rsidRDefault="009505F4" w:rsidP="009505F4">
      <w:pPr>
        <w:rPr>
          <w:szCs w:val="21"/>
        </w:rPr>
      </w:pPr>
      <w:r w:rsidRPr="005F6787">
        <w:rPr>
          <w:szCs w:val="21"/>
        </w:rPr>
        <w:t xml:space="preserve">(c) </w:t>
      </w:r>
      <w:r w:rsidR="00A059AA" w:rsidRPr="005F6787">
        <w:rPr>
          <w:szCs w:val="21"/>
        </w:rPr>
        <w:t>表出（</w:t>
      </w:r>
      <w:r w:rsidR="00A059AA" w:rsidRPr="005F6787">
        <w:rPr>
          <w:szCs w:val="21"/>
        </w:rPr>
        <w:t>Ausfluss</w:t>
      </w:r>
      <w:r w:rsidR="00A059AA" w:rsidRPr="005F6787">
        <w:rPr>
          <w:szCs w:val="21"/>
        </w:rPr>
        <w:t>）という用語は、おそらく</w:t>
      </w:r>
      <w:r w:rsidR="00FC6FA8" w:rsidRPr="005F6787">
        <w:rPr>
          <w:szCs w:val="21"/>
        </w:rPr>
        <w:t>VBL-Gegenwert</w:t>
      </w:r>
      <w:r w:rsidR="00FC6FA8" w:rsidRPr="005F6787">
        <w:rPr>
          <w:rFonts w:ascii="ＭＳ 明朝" w:eastAsia="ＭＳ 明朝" w:hAnsi="ＭＳ 明朝" w:cs="ＭＳ 明朝" w:hint="eastAsia"/>
          <w:szCs w:val="21"/>
        </w:rPr>
        <w:t>Ⅰ</w:t>
      </w:r>
      <w:r w:rsidR="00A059AA" w:rsidRPr="005F6787">
        <w:rPr>
          <w:rFonts w:cs="Arial"/>
          <w:szCs w:val="21"/>
          <w:shd w:val="clear" w:color="auto" w:fill="FFFFFF"/>
        </w:rPr>
        <w:t>事件</w:t>
      </w:r>
      <w:r w:rsidR="00A059AA" w:rsidRPr="005F6787">
        <w:rPr>
          <w:szCs w:val="21"/>
        </w:rPr>
        <w:t>BGH</w:t>
      </w:r>
      <w:r w:rsidR="00A059AA" w:rsidRPr="005F6787">
        <w:rPr>
          <w:szCs w:val="21"/>
        </w:rPr>
        <w:t>判決（</w:t>
      </w:r>
      <w:r w:rsidR="00FC6FA8" w:rsidRPr="005F6787">
        <w:rPr>
          <w:szCs w:val="21"/>
        </w:rPr>
        <w:t>2013</w:t>
      </w:r>
      <w:r w:rsidR="00426BE7" w:rsidRPr="005F6787">
        <w:rPr>
          <w:szCs w:val="21"/>
        </w:rPr>
        <w:t>年）において</w:t>
      </w:r>
      <w:r w:rsidR="00A059AA" w:rsidRPr="005F6787">
        <w:rPr>
          <w:szCs w:val="21"/>
        </w:rPr>
        <w:t>初めて使われたものであろう。</w:t>
      </w:r>
    </w:p>
    <w:p w14:paraId="476EEBB1" w14:textId="77777777" w:rsidR="00826909" w:rsidRPr="005F6787" w:rsidRDefault="00826909" w:rsidP="00815C6D">
      <w:pPr>
        <w:rPr>
          <w:rFonts w:cs="Century"/>
          <w:szCs w:val="21"/>
        </w:rPr>
      </w:pPr>
      <w:r w:rsidRPr="005F6787">
        <w:rPr>
          <w:szCs w:val="21"/>
        </w:rPr>
        <w:t xml:space="preserve">　</w:t>
      </w:r>
      <w:r w:rsidR="00A059AA" w:rsidRPr="005F6787">
        <w:rPr>
          <w:szCs w:val="21"/>
        </w:rPr>
        <w:t>同事件においては、</w:t>
      </w:r>
      <w:r w:rsidR="00A64F49" w:rsidRPr="005F6787">
        <w:rPr>
          <w:szCs w:val="21"/>
        </w:rPr>
        <w:t>連邦・州</w:t>
      </w:r>
      <w:r w:rsidR="00A059AA" w:rsidRPr="005F6787">
        <w:rPr>
          <w:szCs w:val="21"/>
        </w:rPr>
        <w:t>年金機構（</w:t>
      </w:r>
      <w:r w:rsidR="00A059AA" w:rsidRPr="005F6787">
        <w:rPr>
          <w:szCs w:val="21"/>
        </w:rPr>
        <w:t>Die Versorgungsanstalt des Bundes und der Länder </w:t>
      </w:r>
      <w:r w:rsidR="00A059AA" w:rsidRPr="005F6787">
        <w:rPr>
          <w:szCs w:val="21"/>
        </w:rPr>
        <w:t>＝</w:t>
      </w:r>
      <w:r w:rsidR="00A059AA" w:rsidRPr="005F6787">
        <w:rPr>
          <w:szCs w:val="21"/>
        </w:rPr>
        <w:t>VBL</w:t>
      </w:r>
      <w:r w:rsidR="00A059AA" w:rsidRPr="005F6787">
        <w:rPr>
          <w:szCs w:val="21"/>
        </w:rPr>
        <w:t>）が定めた</w:t>
      </w:r>
      <w:r w:rsidR="00A059AA" w:rsidRPr="005F6787">
        <w:rPr>
          <w:rFonts w:cs="Century"/>
          <w:szCs w:val="21"/>
        </w:rPr>
        <w:t>定款</w:t>
      </w:r>
      <w:r w:rsidR="00A059AA" w:rsidRPr="005F6787">
        <w:rPr>
          <w:rFonts w:cs="Century"/>
          <w:szCs w:val="21"/>
        </w:rPr>
        <w:t>”VBLS2001”</w:t>
      </w:r>
      <w:r w:rsidR="00A059AA" w:rsidRPr="005F6787">
        <w:rPr>
          <w:rFonts w:cs="Century"/>
          <w:szCs w:val="21"/>
        </w:rPr>
        <w:t>の</w:t>
      </w:r>
      <w:r w:rsidR="00A059AA" w:rsidRPr="005F6787">
        <w:rPr>
          <w:rFonts w:cs="Century"/>
          <w:szCs w:val="21"/>
        </w:rPr>
        <w:t>23</w:t>
      </w:r>
      <w:r w:rsidR="00A059AA" w:rsidRPr="005F6787">
        <w:rPr>
          <w:rFonts w:cs="Century"/>
          <w:szCs w:val="21"/>
        </w:rPr>
        <w:t>条</w:t>
      </w:r>
      <w:r w:rsidR="00A059AA" w:rsidRPr="005F6787">
        <w:rPr>
          <w:rFonts w:cs="Century"/>
          <w:szCs w:val="21"/>
        </w:rPr>
        <w:t>2</w:t>
      </w:r>
      <w:r w:rsidR="00A059AA" w:rsidRPr="005F6787">
        <w:rPr>
          <w:rFonts w:cs="Century"/>
          <w:szCs w:val="21"/>
        </w:rPr>
        <w:t>項によれば、退会した加入者は、退会後の基金の資産から生じる債務を履行するため、退会後も基金が計算する一定の対価の支払いが義務付けられていた。</w:t>
      </w:r>
    </w:p>
    <w:p w14:paraId="0554BD0C" w14:textId="77777777" w:rsidR="00A64F49" w:rsidRPr="005F6787" w:rsidRDefault="00A64F49" w:rsidP="00A059AA">
      <w:pPr>
        <w:ind w:firstLine="210"/>
        <w:rPr>
          <w:szCs w:val="21"/>
        </w:rPr>
      </w:pPr>
      <w:r w:rsidRPr="005F6787">
        <w:rPr>
          <w:rFonts w:cs="Century"/>
          <w:szCs w:val="21"/>
        </w:rPr>
        <w:t>この定款の条項</w:t>
      </w:r>
      <w:r w:rsidR="00FC6FA8" w:rsidRPr="005F6787">
        <w:rPr>
          <w:rFonts w:cs="Century"/>
          <w:szCs w:val="21"/>
        </w:rPr>
        <w:t>と</w:t>
      </w:r>
      <w:r w:rsidR="00FC6FA8" w:rsidRPr="005F6787">
        <w:rPr>
          <w:rFonts w:cs="Century"/>
          <w:szCs w:val="21"/>
        </w:rPr>
        <w:t>GWB</w:t>
      </w:r>
      <w:r w:rsidR="00FC6FA8" w:rsidRPr="005F6787">
        <w:rPr>
          <w:rFonts w:cs="Century"/>
          <w:szCs w:val="21"/>
        </w:rPr>
        <w:t>上の濫用規制</w:t>
      </w:r>
      <w:r w:rsidR="00A059AA" w:rsidRPr="005F6787">
        <w:rPr>
          <w:rFonts w:cs="Century"/>
          <w:szCs w:val="21"/>
        </w:rPr>
        <w:t>につ</w:t>
      </w:r>
      <w:r w:rsidR="00FC6FA8" w:rsidRPr="005F6787">
        <w:rPr>
          <w:rFonts w:cs="Century"/>
          <w:szCs w:val="21"/>
        </w:rPr>
        <w:t>いて</w:t>
      </w:r>
      <w:r w:rsidR="00A059AA" w:rsidRPr="005F6787">
        <w:rPr>
          <w:rFonts w:cs="Century"/>
          <w:szCs w:val="21"/>
        </w:rPr>
        <w:t>、</w:t>
      </w:r>
      <w:r w:rsidR="00A059AA" w:rsidRPr="005F6787">
        <w:rPr>
          <w:szCs w:val="21"/>
        </w:rPr>
        <w:t>BGH</w:t>
      </w:r>
      <w:r w:rsidR="00A059AA" w:rsidRPr="005F6787">
        <w:rPr>
          <w:szCs w:val="21"/>
        </w:rPr>
        <w:t>判決は、次のように判示している。</w:t>
      </w:r>
      <w:r w:rsidR="00A059AA" w:rsidRPr="005F6787">
        <w:rPr>
          <w:rFonts w:cs="Century"/>
          <w:szCs w:val="21"/>
        </w:rPr>
        <w:t>「</w:t>
      </w:r>
      <w:r w:rsidR="00A059AA" w:rsidRPr="005F6787">
        <w:rPr>
          <w:szCs w:val="21"/>
        </w:rPr>
        <w:t>市場支配的事業者が容認できない一般約款条項を用いることは、原則として、</w:t>
      </w:r>
      <w:r w:rsidR="00A059AA" w:rsidRPr="005F6787">
        <w:rPr>
          <w:szCs w:val="21"/>
        </w:rPr>
        <w:t>GWB19</w:t>
      </w:r>
      <w:r w:rsidR="00A059AA" w:rsidRPr="005F6787">
        <w:rPr>
          <w:szCs w:val="21"/>
        </w:rPr>
        <w:t>条の意味における濫用であり得る。これは</w:t>
      </w:r>
      <w:r w:rsidR="00A12C39" w:rsidRPr="005F6787">
        <w:rPr>
          <w:szCs w:val="21"/>
          <w:u w:val="single"/>
        </w:rPr>
        <w:t>特</w:t>
      </w:r>
      <w:r w:rsidR="00A059AA" w:rsidRPr="005F6787">
        <w:rPr>
          <w:szCs w:val="21"/>
          <w:u w:val="single"/>
        </w:rPr>
        <w:t>に</w:t>
      </w:r>
      <w:r w:rsidR="00A059AA" w:rsidRPr="005F6787">
        <w:rPr>
          <w:szCs w:val="21"/>
        </w:rPr>
        <w:t>、無効な条項の合意が</w:t>
      </w:r>
      <w:r w:rsidR="004B3AE9" w:rsidRPr="005F6787">
        <w:rPr>
          <w:szCs w:val="21"/>
          <w:u w:val="single"/>
        </w:rPr>
        <w:t>市場力または強大な市場優越的地位</w:t>
      </w:r>
      <w:r w:rsidR="00A059AA" w:rsidRPr="005F6787">
        <w:rPr>
          <w:szCs w:val="21"/>
          <w:u w:val="single"/>
        </w:rPr>
        <w:t>の表出（</w:t>
      </w:r>
      <w:r w:rsidR="00A059AA" w:rsidRPr="005F6787">
        <w:rPr>
          <w:szCs w:val="21"/>
          <w:u w:val="single"/>
        </w:rPr>
        <w:t>Ausfluss</w:t>
      </w:r>
      <w:r w:rsidR="00A059AA" w:rsidRPr="005F6787">
        <w:rPr>
          <w:szCs w:val="21"/>
          <w:u w:val="single"/>
        </w:rPr>
        <w:t>）</w:t>
      </w:r>
      <w:r w:rsidR="00A059AA" w:rsidRPr="005F6787">
        <w:rPr>
          <w:szCs w:val="21"/>
        </w:rPr>
        <w:t>であるとき、妥当する。</w:t>
      </w:r>
    </w:p>
    <w:p w14:paraId="1EE51D60" w14:textId="77777777" w:rsidR="00A059AA" w:rsidRPr="005F6787" w:rsidRDefault="00A059AA" w:rsidP="00A059AA">
      <w:pPr>
        <w:ind w:firstLine="210"/>
        <w:rPr>
          <w:szCs w:val="21"/>
        </w:rPr>
      </w:pPr>
      <w:r w:rsidRPr="005F6787">
        <w:rPr>
          <w:rFonts w:cs="Century"/>
          <w:szCs w:val="21"/>
        </w:rPr>
        <w:t>”VBLS2001”</w:t>
      </w:r>
      <w:r w:rsidRPr="005F6787">
        <w:rPr>
          <w:szCs w:val="21"/>
        </w:rPr>
        <w:t>23</w:t>
      </w:r>
      <w:r w:rsidRPr="005F6787">
        <w:rPr>
          <w:szCs w:val="21"/>
        </w:rPr>
        <w:t>条</w:t>
      </w:r>
      <w:r w:rsidRPr="005F6787">
        <w:rPr>
          <w:szCs w:val="21"/>
        </w:rPr>
        <w:t>2</w:t>
      </w:r>
      <w:r w:rsidRPr="005F6787">
        <w:rPr>
          <w:szCs w:val="21"/>
        </w:rPr>
        <w:t>項に基づく、不相当な反対価値の要求は、条件濫用の形態における搾取的濫用であり、</w:t>
      </w:r>
      <w:r w:rsidRPr="005F6787">
        <w:rPr>
          <w:szCs w:val="21"/>
        </w:rPr>
        <w:t>19</w:t>
      </w:r>
      <w:r w:rsidRPr="005F6787">
        <w:rPr>
          <w:szCs w:val="21"/>
        </w:rPr>
        <w:t>条</w:t>
      </w:r>
      <w:r w:rsidRPr="005F6787">
        <w:rPr>
          <w:szCs w:val="21"/>
        </w:rPr>
        <w:t>1</w:t>
      </w:r>
      <w:r w:rsidRPr="005F6787">
        <w:rPr>
          <w:szCs w:val="21"/>
        </w:rPr>
        <w:t>項の一般条項に該当する」。</w:t>
      </w:r>
      <w:r w:rsidR="00A64F49" w:rsidRPr="005F6787">
        <w:rPr>
          <w:szCs w:val="21"/>
        </w:rPr>
        <w:t>（同判決</w:t>
      </w:r>
      <w:r w:rsidRPr="005F6787">
        <w:rPr>
          <w:szCs w:val="21"/>
        </w:rPr>
        <w:t>Rn.65</w:t>
      </w:r>
      <w:r w:rsidR="00A64F49" w:rsidRPr="005F6787">
        <w:rPr>
          <w:szCs w:val="21"/>
        </w:rPr>
        <w:t>）</w:t>
      </w:r>
    </w:p>
    <w:p w14:paraId="56A49F33" w14:textId="77777777" w:rsidR="00A059AA" w:rsidRPr="005F6787" w:rsidRDefault="00A059AA" w:rsidP="00815C6D">
      <w:pPr>
        <w:rPr>
          <w:szCs w:val="21"/>
        </w:rPr>
      </w:pPr>
    </w:p>
    <w:p w14:paraId="047C51A1" w14:textId="77777777" w:rsidR="002972CB" w:rsidRPr="005F6787" w:rsidRDefault="008338AA" w:rsidP="002711B8">
      <w:pPr>
        <w:rPr>
          <w:b/>
          <w:szCs w:val="21"/>
        </w:rPr>
      </w:pPr>
      <w:r w:rsidRPr="005F6787">
        <w:rPr>
          <w:szCs w:val="21"/>
        </w:rPr>
        <w:t xml:space="preserve">(d) </w:t>
      </w:r>
      <w:r w:rsidR="0067514A" w:rsidRPr="005F6787">
        <w:rPr>
          <w:szCs w:val="21"/>
        </w:rPr>
        <w:t>本稿では、既に</w:t>
      </w:r>
      <w:r w:rsidRPr="005F6787">
        <w:rPr>
          <w:szCs w:val="21"/>
        </w:rPr>
        <w:t>2</w:t>
      </w:r>
      <w:r w:rsidRPr="005F6787">
        <w:rPr>
          <w:szCs w:val="21"/>
        </w:rPr>
        <w:t>箇所で、</w:t>
      </w:r>
      <w:r w:rsidR="0067514A" w:rsidRPr="005F6787">
        <w:rPr>
          <w:szCs w:val="21"/>
        </w:rPr>
        <w:t>本決定における</w:t>
      </w:r>
      <w:r w:rsidRPr="005F6787">
        <w:rPr>
          <w:szCs w:val="21"/>
        </w:rPr>
        <w:t>表出（</w:t>
      </w:r>
      <w:r w:rsidRPr="005F6787">
        <w:rPr>
          <w:szCs w:val="21"/>
        </w:rPr>
        <w:t>Ausfluss</w:t>
      </w:r>
      <w:r w:rsidRPr="005F6787">
        <w:rPr>
          <w:szCs w:val="21"/>
        </w:rPr>
        <w:t>）という用語が用いられている</w:t>
      </w:r>
      <w:r w:rsidR="0067514A" w:rsidRPr="005F6787">
        <w:rPr>
          <w:szCs w:val="21"/>
        </w:rPr>
        <w:t>箇所を引いた</w:t>
      </w:r>
      <w:r w:rsidRPr="005F6787">
        <w:rPr>
          <w:szCs w:val="21"/>
        </w:rPr>
        <w:t>（</w:t>
      </w:r>
      <w:r w:rsidRPr="005F6787">
        <w:rPr>
          <w:szCs w:val="21"/>
        </w:rPr>
        <w:t>Rn.523</w:t>
      </w:r>
      <w:r w:rsidRPr="005F6787">
        <w:rPr>
          <w:szCs w:val="21"/>
        </w:rPr>
        <w:t>、</w:t>
      </w:r>
      <w:r w:rsidR="006262A1" w:rsidRPr="005F6787">
        <w:rPr>
          <w:szCs w:val="21"/>
        </w:rPr>
        <w:t>及び</w:t>
      </w:r>
      <w:r w:rsidRPr="005F6787">
        <w:rPr>
          <w:szCs w:val="21"/>
        </w:rPr>
        <w:t>、</w:t>
      </w:r>
      <w:r w:rsidRPr="005F6787">
        <w:rPr>
          <w:b/>
          <w:szCs w:val="21"/>
        </w:rPr>
        <w:t>Rn.527.</w:t>
      </w:r>
      <w:r w:rsidRPr="005F6787">
        <w:rPr>
          <w:b/>
          <w:szCs w:val="21"/>
        </w:rPr>
        <w:t>）。</w:t>
      </w:r>
    </w:p>
    <w:p w14:paraId="305448C2" w14:textId="77777777" w:rsidR="0067514A" w:rsidRPr="005F6787" w:rsidRDefault="0067514A" w:rsidP="002711B8">
      <w:pPr>
        <w:rPr>
          <w:szCs w:val="21"/>
        </w:rPr>
      </w:pPr>
      <w:r w:rsidRPr="005F6787">
        <w:rPr>
          <w:szCs w:val="21"/>
        </w:rPr>
        <w:lastRenderedPageBreak/>
        <w:t xml:space="preserve">　本決定は、さらに「市場支配力の表出としての違反」という項目で次のように詳述している（</w:t>
      </w:r>
      <w:r w:rsidRPr="005F6787">
        <w:rPr>
          <w:szCs w:val="21"/>
        </w:rPr>
        <w:t>Rn.871</w:t>
      </w:r>
      <w:r w:rsidRPr="005F6787">
        <w:rPr>
          <w:szCs w:val="21"/>
        </w:rPr>
        <w:t>以下）。</w:t>
      </w:r>
    </w:p>
    <w:p w14:paraId="2C7807F4" w14:textId="77777777" w:rsidR="00790F77" w:rsidRPr="005F6787" w:rsidRDefault="00790F77" w:rsidP="002711B8">
      <w:pPr>
        <w:rPr>
          <w:rFonts w:cs="Times New Roman"/>
          <w:szCs w:val="21"/>
        </w:rPr>
      </w:pPr>
      <w:r w:rsidRPr="005F6787">
        <w:rPr>
          <w:szCs w:val="21"/>
        </w:rPr>
        <w:t xml:space="preserve">　「</w:t>
      </w:r>
      <w:r w:rsidRPr="005F6787">
        <w:rPr>
          <w:rFonts w:cs="Times New Roman"/>
          <w:szCs w:val="21"/>
        </w:rPr>
        <w:t>法的な相当性規定（</w:t>
      </w:r>
      <w:r w:rsidRPr="005F6787">
        <w:rPr>
          <w:rFonts w:cs="Arial"/>
          <w:kern w:val="0"/>
          <w:szCs w:val="21"/>
        </w:rPr>
        <w:t>Angemessenheitsbe</w:t>
      </w:r>
      <w:r w:rsidRPr="005F6787">
        <w:rPr>
          <w:rFonts w:cs="ArialMT"/>
          <w:kern w:val="0"/>
          <w:szCs w:val="21"/>
        </w:rPr>
        <w:t>stimmungen</w:t>
      </w:r>
      <w:r w:rsidRPr="005F6787">
        <w:rPr>
          <w:rFonts w:cs="ArialMT"/>
          <w:kern w:val="0"/>
          <w:szCs w:val="21"/>
        </w:rPr>
        <w:t>）</w:t>
      </w:r>
      <w:r w:rsidRPr="005F6787">
        <w:rPr>
          <w:rFonts w:cs="Times New Roman"/>
          <w:szCs w:val="21"/>
        </w:rPr>
        <w:t>に関する違反が『市場支配力または優越的市場地位の表出として』生じなければならないことは，</w:t>
      </w:r>
      <w:r w:rsidRPr="005F6787">
        <w:rPr>
          <w:rFonts w:cs="Times New Roman"/>
          <w:szCs w:val="21"/>
        </w:rPr>
        <w:t>BGH</w:t>
      </w:r>
      <w:r w:rsidRPr="005F6787">
        <w:rPr>
          <w:rFonts w:cs="Times New Roman"/>
          <w:szCs w:val="21"/>
        </w:rPr>
        <w:t>の</w:t>
      </w:r>
      <w:r w:rsidRPr="005F6787">
        <w:rPr>
          <w:rFonts w:cs="Times New Roman"/>
          <w:szCs w:val="21"/>
        </w:rPr>
        <w:t>VBL</w:t>
      </w:r>
      <w:r w:rsidRPr="005F6787">
        <w:rPr>
          <w:rFonts w:cs="Times New Roman"/>
          <w:szCs w:val="21"/>
        </w:rPr>
        <w:t>判例の審査コンセプトに基づき，カルテル法以外の法違反に客観的なカルテル法上の濫用非難を結びつけることについての十分な根拠となる」</w:t>
      </w:r>
      <w:r w:rsidR="0008408A" w:rsidRPr="005F6787">
        <w:rPr>
          <w:rFonts w:cs="Times New Roman"/>
          <w:szCs w:val="21"/>
        </w:rPr>
        <w:t>(Rn.872)</w:t>
      </w:r>
      <w:r w:rsidRPr="005F6787">
        <w:rPr>
          <w:rFonts w:cs="Times New Roman"/>
          <w:szCs w:val="21"/>
        </w:rPr>
        <w:t>。</w:t>
      </w:r>
    </w:p>
    <w:p w14:paraId="13D5EE70" w14:textId="77777777" w:rsidR="00790F77" w:rsidRPr="005F6787" w:rsidRDefault="00790F77" w:rsidP="002711B8">
      <w:pPr>
        <w:rPr>
          <w:rFonts w:cs="Times New Roman"/>
          <w:szCs w:val="21"/>
        </w:rPr>
      </w:pPr>
      <w:r w:rsidRPr="005F6787">
        <w:rPr>
          <w:rFonts w:cs="Times New Roman"/>
          <w:szCs w:val="21"/>
        </w:rPr>
        <w:t xml:space="preserve">　ここで、</w:t>
      </w:r>
      <w:r w:rsidRPr="005F6787">
        <w:rPr>
          <w:szCs w:val="21"/>
        </w:rPr>
        <w:t>「</w:t>
      </w:r>
      <w:r w:rsidRPr="005F6787">
        <w:rPr>
          <w:rFonts w:cs="Times New Roman"/>
          <w:szCs w:val="21"/>
        </w:rPr>
        <w:t>法的な相当性規定」とは、前記の民法</w:t>
      </w:r>
      <w:r w:rsidRPr="005F6787">
        <w:rPr>
          <w:szCs w:val="21"/>
        </w:rPr>
        <w:t>307</w:t>
      </w:r>
      <w:r w:rsidRPr="005F6787">
        <w:rPr>
          <w:szCs w:val="21"/>
        </w:rPr>
        <w:t>条</w:t>
      </w:r>
      <w:r w:rsidRPr="005F6787">
        <w:rPr>
          <w:szCs w:val="21"/>
        </w:rPr>
        <w:t>1</w:t>
      </w:r>
      <w:r w:rsidRPr="005F6787">
        <w:rPr>
          <w:szCs w:val="21"/>
        </w:rPr>
        <w:t>項を指しており、このように、</w:t>
      </w:r>
      <w:r w:rsidRPr="005F6787">
        <w:rPr>
          <w:rFonts w:cs="Times New Roman"/>
          <w:szCs w:val="21"/>
        </w:rPr>
        <w:t>カルテル法以外の法違反が市場力の表出とされるとき、それとカルテル法上の濫用非難を結びつけることができる、というのが、</w:t>
      </w:r>
      <w:r w:rsidRPr="005F6787">
        <w:rPr>
          <w:rFonts w:cs="Times New Roman"/>
          <w:szCs w:val="21"/>
        </w:rPr>
        <w:t>BGH</w:t>
      </w:r>
      <w:r w:rsidRPr="005F6787">
        <w:rPr>
          <w:rFonts w:cs="Times New Roman"/>
          <w:szCs w:val="21"/>
        </w:rPr>
        <w:t>の</w:t>
      </w:r>
      <w:r w:rsidRPr="005F6787">
        <w:rPr>
          <w:rFonts w:cs="Times New Roman"/>
          <w:szCs w:val="21"/>
        </w:rPr>
        <w:t>VBL</w:t>
      </w:r>
      <w:r w:rsidRPr="005F6787">
        <w:rPr>
          <w:rFonts w:cs="Times New Roman"/>
          <w:szCs w:val="21"/>
        </w:rPr>
        <w:t>判決の考え方だというわけである。</w:t>
      </w:r>
    </w:p>
    <w:p w14:paraId="11290D84" w14:textId="77777777" w:rsidR="00181F64" w:rsidRPr="005F6787" w:rsidRDefault="0008408A" w:rsidP="00181F64">
      <w:pPr>
        <w:ind w:firstLineChars="100" w:firstLine="210"/>
        <w:rPr>
          <w:rFonts w:cs="Times New Roman"/>
          <w:szCs w:val="21"/>
        </w:rPr>
      </w:pPr>
      <w:r w:rsidRPr="005F6787">
        <w:rPr>
          <w:rFonts w:cs="Times New Roman"/>
          <w:szCs w:val="21"/>
        </w:rPr>
        <w:t>本決定は、続けて次のように述べる。「</w:t>
      </w:r>
      <w:r w:rsidR="00181F64" w:rsidRPr="005F6787">
        <w:rPr>
          <w:rFonts w:cs="Times New Roman"/>
          <w:szCs w:val="21"/>
        </w:rPr>
        <w:t>BGH</w:t>
      </w:r>
      <w:r w:rsidRPr="005F6787">
        <w:rPr>
          <w:rFonts w:cs="Times New Roman"/>
          <w:szCs w:val="21"/>
        </w:rPr>
        <w:t>決定の『特に』という文言から，連邦裁判所は意図的に『表出』</w:t>
      </w:r>
      <w:r w:rsidR="00181F64" w:rsidRPr="005F6787">
        <w:rPr>
          <w:rFonts w:cs="Times New Roman"/>
          <w:szCs w:val="21"/>
        </w:rPr>
        <w:t>条項をカルテル法に基づく濫用の申し立てのための必要条件に高めることを控えていることが看取できる。</w:t>
      </w:r>
    </w:p>
    <w:p w14:paraId="6EF837B9" w14:textId="77777777" w:rsidR="00181F64" w:rsidRPr="005F6787" w:rsidRDefault="0008408A" w:rsidP="00181F64">
      <w:pPr>
        <w:ind w:firstLineChars="100" w:firstLine="210"/>
        <w:rPr>
          <w:rFonts w:cs="Times New Roman"/>
          <w:szCs w:val="21"/>
        </w:rPr>
      </w:pPr>
      <w:r w:rsidRPr="005F6787">
        <w:rPr>
          <w:rFonts w:cs="Times New Roman"/>
          <w:szCs w:val="21"/>
        </w:rPr>
        <w:t>この</w:t>
      </w:r>
      <w:r w:rsidR="00181F64" w:rsidRPr="005F6787">
        <w:rPr>
          <w:rFonts w:cs="Times New Roman"/>
          <w:szCs w:val="21"/>
        </w:rPr>
        <w:t>表出</w:t>
      </w:r>
      <w:r w:rsidR="008067AD" w:rsidRPr="005F6787">
        <w:rPr>
          <w:rFonts w:cs="Times New Roman"/>
          <w:szCs w:val="21"/>
        </w:rPr>
        <w:t>という前提</w:t>
      </w:r>
      <w:r w:rsidR="00181F64" w:rsidRPr="005F6787">
        <w:rPr>
          <w:rFonts w:cs="Times New Roman"/>
          <w:szCs w:val="21"/>
        </w:rPr>
        <w:t>が存在する場合，カルテル法以外の規定違反を，同時に必要な市場力関連性を通して</w:t>
      </w:r>
      <w:r w:rsidR="008067AD" w:rsidRPr="005F6787">
        <w:rPr>
          <w:rFonts w:cs="Times New Roman"/>
          <w:szCs w:val="21"/>
        </w:rPr>
        <w:t>、</w:t>
      </w:r>
      <w:r w:rsidR="00181F64" w:rsidRPr="005F6787">
        <w:rPr>
          <w:rFonts w:cs="Times New Roman"/>
          <w:szCs w:val="21"/>
        </w:rPr>
        <w:t>カルテルに服</w:t>
      </w:r>
      <w:r w:rsidR="008067AD" w:rsidRPr="005F6787">
        <w:rPr>
          <w:rFonts w:cs="Times New Roman"/>
          <w:szCs w:val="21"/>
        </w:rPr>
        <w:t>させ</w:t>
      </w:r>
      <w:r w:rsidR="00181F64" w:rsidRPr="005F6787">
        <w:rPr>
          <w:rFonts w:cs="Times New Roman"/>
          <w:szCs w:val="21"/>
        </w:rPr>
        <w:t>ることについての十分な手がかりとなる。</w:t>
      </w:r>
    </w:p>
    <w:p w14:paraId="437EABF1" w14:textId="77777777" w:rsidR="00181F64" w:rsidRPr="005F6787" w:rsidRDefault="00181F64" w:rsidP="00181F64">
      <w:pPr>
        <w:ind w:firstLineChars="100" w:firstLine="210"/>
        <w:rPr>
          <w:rFonts w:cs="Times New Roman"/>
          <w:szCs w:val="21"/>
        </w:rPr>
      </w:pPr>
      <w:r w:rsidRPr="005F6787">
        <w:rPr>
          <w:rFonts w:cs="Times New Roman"/>
          <w:szCs w:val="21"/>
        </w:rPr>
        <w:t>しかしながら，同時に，このメルクマールは，市場支配的地位の「搾取」という概念を含む</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項の文言を超える（より広い、高い）要求をしているわけではない</w:t>
      </w:r>
      <w:r w:rsidR="008067AD" w:rsidRPr="005F6787">
        <w:rPr>
          <w:rFonts w:cs="Times New Roman"/>
          <w:szCs w:val="21"/>
        </w:rPr>
        <w:t>」</w:t>
      </w:r>
      <w:r w:rsidR="008067AD" w:rsidRPr="005F6787">
        <w:rPr>
          <w:rFonts w:cs="Times New Roman"/>
          <w:szCs w:val="21"/>
        </w:rPr>
        <w:t>(Rn.872)</w:t>
      </w:r>
      <w:r w:rsidRPr="005F6787">
        <w:rPr>
          <w:rFonts w:cs="Times New Roman"/>
          <w:szCs w:val="21"/>
        </w:rPr>
        <w:t>。</w:t>
      </w:r>
    </w:p>
    <w:p w14:paraId="6D972094" w14:textId="77777777" w:rsidR="00181F64" w:rsidRPr="005F6787" w:rsidRDefault="008067AD" w:rsidP="002711B8">
      <w:pPr>
        <w:rPr>
          <w:szCs w:val="21"/>
        </w:rPr>
      </w:pPr>
      <w:r w:rsidRPr="005F6787">
        <w:rPr>
          <w:szCs w:val="21"/>
        </w:rPr>
        <w:t xml:space="preserve">　以上の「表出」に関する本決定の論理は分かりにくいが、</w:t>
      </w:r>
      <w:r w:rsidRPr="005F6787">
        <w:rPr>
          <w:szCs w:val="21"/>
        </w:rPr>
        <w:t>VBL-Gegenwert</w:t>
      </w:r>
      <w:r w:rsidRPr="005F6787">
        <w:rPr>
          <w:rFonts w:ascii="ＭＳ 明朝" w:eastAsia="ＭＳ 明朝" w:hAnsi="ＭＳ 明朝" w:cs="ＭＳ 明朝" w:hint="eastAsia"/>
          <w:szCs w:val="21"/>
        </w:rPr>
        <w:t>Ⅰ</w:t>
      </w:r>
      <w:r w:rsidRPr="005F6787">
        <w:rPr>
          <w:rFonts w:cs="Arial"/>
          <w:szCs w:val="21"/>
          <w:shd w:val="clear" w:color="auto" w:fill="FFFFFF"/>
        </w:rPr>
        <w:t>事件</w:t>
      </w:r>
      <w:r w:rsidRPr="005F6787">
        <w:rPr>
          <w:szCs w:val="21"/>
        </w:rPr>
        <w:t>BGH</w:t>
      </w:r>
      <w:r w:rsidRPr="005F6787">
        <w:rPr>
          <w:szCs w:val="21"/>
        </w:rPr>
        <w:t>判決における「表出」に関する判示を手がかりに、</w:t>
      </w:r>
      <w:r w:rsidRPr="005F6787">
        <w:rPr>
          <w:szCs w:val="21"/>
        </w:rPr>
        <w:t>BGB</w:t>
      </w:r>
      <w:r w:rsidRPr="005F6787">
        <w:rPr>
          <w:szCs w:val="21"/>
        </w:rPr>
        <w:t>という「</w:t>
      </w:r>
      <w:r w:rsidRPr="005F6787">
        <w:rPr>
          <w:rFonts w:cs="Times New Roman"/>
          <w:szCs w:val="21"/>
        </w:rPr>
        <w:t>カルテル法以外の法違反」と、</w:t>
      </w:r>
      <w:r w:rsidRPr="005F6787">
        <w:rPr>
          <w:rFonts w:cs="Times New Roman"/>
          <w:szCs w:val="21"/>
        </w:rPr>
        <w:t>GWB10</w:t>
      </w:r>
      <w:r w:rsidRPr="005F6787">
        <w:rPr>
          <w:rFonts w:cs="Times New Roman"/>
          <w:szCs w:val="21"/>
        </w:rPr>
        <w:t>条の濫用を結びつけるために、当該行為（本件ではデータ処理に関する約款の設定と実施）が市場力の</w:t>
      </w:r>
      <w:r w:rsidRPr="005F6787">
        <w:rPr>
          <w:szCs w:val="21"/>
        </w:rPr>
        <w:t>「表出」としての性格を持つ、ということを言いたかったのであろう。</w:t>
      </w:r>
    </w:p>
    <w:p w14:paraId="59C9BA69" w14:textId="77777777" w:rsidR="008067AD" w:rsidRPr="005F6787" w:rsidRDefault="008067AD" w:rsidP="002711B8">
      <w:pPr>
        <w:rPr>
          <w:szCs w:val="21"/>
        </w:rPr>
      </w:pPr>
    </w:p>
    <w:p w14:paraId="2B0136AC" w14:textId="0A34DDA0" w:rsidR="00181F64" w:rsidRPr="005F6787" w:rsidRDefault="00DF6210" w:rsidP="008067AD">
      <w:pPr>
        <w:rPr>
          <w:rFonts w:cs="ArialMT"/>
          <w:kern w:val="0"/>
          <w:szCs w:val="21"/>
        </w:rPr>
      </w:pPr>
      <w:r w:rsidRPr="005F6787">
        <w:rPr>
          <w:rFonts w:cs="Times New Roman"/>
          <w:szCs w:val="21"/>
        </w:rPr>
        <w:t>(e</w:t>
      </w:r>
      <w:r w:rsidR="008067AD" w:rsidRPr="005F6787">
        <w:rPr>
          <w:rFonts w:cs="Times New Roman"/>
          <w:szCs w:val="21"/>
        </w:rPr>
        <w:t xml:space="preserve">) </w:t>
      </w:r>
      <w:r w:rsidR="008067AD" w:rsidRPr="005F6787">
        <w:rPr>
          <w:rFonts w:cs="Times New Roman"/>
          <w:szCs w:val="21"/>
        </w:rPr>
        <w:t>本決定では、上に</w:t>
      </w:r>
      <w:r w:rsidR="00181F64" w:rsidRPr="005F6787">
        <w:rPr>
          <w:szCs w:val="21"/>
        </w:rPr>
        <w:t>続いて、</w:t>
      </w:r>
      <w:r w:rsidR="00181F64" w:rsidRPr="005F6787">
        <w:rPr>
          <w:rFonts w:cs="Times New Roman"/>
          <w:szCs w:val="21"/>
        </w:rPr>
        <w:t>因果関係</w:t>
      </w:r>
      <w:r w:rsidR="005606C8" w:rsidRPr="005F6787">
        <w:rPr>
          <w:rFonts w:cs="Times New Roman"/>
          <w:szCs w:val="21"/>
        </w:rPr>
        <w:t>（</w:t>
      </w:r>
      <w:r w:rsidR="005606C8" w:rsidRPr="005F6787">
        <w:rPr>
          <w:rFonts w:cs="ArialMT"/>
          <w:kern w:val="0"/>
          <w:szCs w:val="21"/>
        </w:rPr>
        <w:t>Kausalität</w:t>
      </w:r>
      <w:r w:rsidR="005606C8" w:rsidRPr="005F6787">
        <w:rPr>
          <w:rFonts w:cs="ArialMT"/>
          <w:kern w:val="0"/>
          <w:szCs w:val="21"/>
        </w:rPr>
        <w:t>）</w:t>
      </w:r>
      <w:r w:rsidR="008067AD" w:rsidRPr="005F6787">
        <w:rPr>
          <w:rFonts w:cs="Times New Roman"/>
          <w:szCs w:val="21"/>
        </w:rPr>
        <w:t>について以下のように述べる。</w:t>
      </w:r>
    </w:p>
    <w:p w14:paraId="689B26DE" w14:textId="77777777" w:rsidR="00181F64" w:rsidRPr="005F6787" w:rsidRDefault="008067AD" w:rsidP="008067AD">
      <w:pPr>
        <w:ind w:firstLineChars="100" w:firstLine="210"/>
        <w:rPr>
          <w:rFonts w:cs="Times New Roman"/>
          <w:szCs w:val="21"/>
        </w:rPr>
      </w:pPr>
      <w:r w:rsidRPr="005F6787">
        <w:rPr>
          <w:rFonts w:cs="Times New Roman"/>
          <w:szCs w:val="21"/>
        </w:rPr>
        <w:t>「</w:t>
      </w:r>
      <w:r w:rsidR="00181F64" w:rsidRPr="005F6787">
        <w:rPr>
          <w:rFonts w:cs="Times New Roman"/>
          <w:szCs w:val="21"/>
        </w:rPr>
        <w:t>市場支配力との必要な関連性については，</w:t>
      </w:r>
      <w:r w:rsidR="00181F64" w:rsidRPr="005F6787">
        <w:rPr>
          <w:rFonts w:cs="Times New Roman"/>
          <w:szCs w:val="21"/>
        </w:rPr>
        <w:t>Facebook</w:t>
      </w:r>
      <w:r w:rsidR="00181F64" w:rsidRPr="005F6787">
        <w:rPr>
          <w:rFonts w:cs="Times New Roman"/>
          <w:szCs w:val="21"/>
        </w:rPr>
        <w:t>の主張とは異なり，データ処理条件がまさに市場支配力によってのみ形成されるというような立証を必要とするような，市場支配力の厳密な因果関係として理解されるべきではない。</w:t>
      </w:r>
    </w:p>
    <w:p w14:paraId="232F104E" w14:textId="77777777" w:rsidR="00181F64" w:rsidRPr="005F6787" w:rsidRDefault="00181F64" w:rsidP="008067AD">
      <w:pPr>
        <w:ind w:firstLineChars="100" w:firstLine="210"/>
        <w:rPr>
          <w:rFonts w:cs="Times New Roman"/>
          <w:szCs w:val="21"/>
        </w:rPr>
      </w:pPr>
      <w:r w:rsidRPr="005F6787">
        <w:rPr>
          <w:rFonts w:cs="Times New Roman"/>
          <w:szCs w:val="21"/>
        </w:rPr>
        <w:t>市場支配的地位の利用</w:t>
      </w:r>
      <w:r w:rsidRPr="005F6787">
        <w:rPr>
          <w:rFonts w:cs="ArialMT"/>
          <w:kern w:val="0"/>
          <w:szCs w:val="21"/>
        </w:rPr>
        <w:t>というためには、</w:t>
      </w:r>
      <w:r w:rsidR="005606C8" w:rsidRPr="005F6787">
        <w:rPr>
          <w:rFonts w:cs="Times New Roman"/>
          <w:szCs w:val="21"/>
        </w:rPr>
        <w:t>むしろ，一般的なルールによれば，市場支配と行動の間の『規範的因果関係』（</w:t>
      </w:r>
      <w:r w:rsidR="005606C8" w:rsidRPr="005F6787">
        <w:rPr>
          <w:rFonts w:cs="ArialMT"/>
          <w:kern w:val="0"/>
          <w:szCs w:val="21"/>
        </w:rPr>
        <w:t>normative Kausalität</w:t>
      </w:r>
      <w:r w:rsidR="005606C8" w:rsidRPr="005F6787">
        <w:rPr>
          <w:rFonts w:cs="ArialMT"/>
          <w:kern w:val="0"/>
          <w:szCs w:val="21"/>
        </w:rPr>
        <w:t>）</w:t>
      </w:r>
      <w:r w:rsidRPr="005F6787">
        <w:rPr>
          <w:rFonts w:cs="Times New Roman"/>
          <w:szCs w:val="21"/>
        </w:rPr>
        <w:t>で十分である。</w:t>
      </w:r>
    </w:p>
    <w:p w14:paraId="5F914B43" w14:textId="77777777" w:rsidR="00181F64" w:rsidRPr="005F6787" w:rsidRDefault="00181F64" w:rsidP="00181F64">
      <w:pPr>
        <w:ind w:firstLineChars="100" w:firstLine="210"/>
        <w:rPr>
          <w:rFonts w:cs="Times New Roman"/>
          <w:szCs w:val="21"/>
        </w:rPr>
      </w:pPr>
      <w:r w:rsidRPr="005F6787">
        <w:rPr>
          <w:rFonts w:cs="Times New Roman"/>
          <w:szCs w:val="21"/>
        </w:rPr>
        <w:t>当該行動が市場支配に基づき、競争侵害的なものであることが証明されれば十分であるが，その際には、厳密な因果関係はないものの，結果に関する因果関係</w:t>
      </w:r>
      <w:r w:rsidR="005606C8" w:rsidRPr="005F6787">
        <w:rPr>
          <w:rFonts w:cs="Times New Roman"/>
          <w:szCs w:val="21"/>
        </w:rPr>
        <w:t>（</w:t>
      </w:r>
      <w:r w:rsidRPr="005F6787">
        <w:rPr>
          <w:rFonts w:cs="Arial"/>
          <w:kern w:val="0"/>
          <w:szCs w:val="21"/>
        </w:rPr>
        <w:t>Ergebniskausalität</w:t>
      </w:r>
      <w:r w:rsidR="005606C8" w:rsidRPr="005F6787">
        <w:rPr>
          <w:rFonts w:cs="Arial"/>
          <w:kern w:val="0"/>
          <w:szCs w:val="21"/>
        </w:rPr>
        <w:t>）</w:t>
      </w:r>
      <w:r w:rsidRPr="005F6787">
        <w:rPr>
          <w:rFonts w:cs="Times New Roman"/>
          <w:szCs w:val="21"/>
        </w:rPr>
        <w:t>は要求されるべきである</w:t>
      </w:r>
      <w:r w:rsidR="008067AD" w:rsidRPr="005F6787">
        <w:rPr>
          <w:rFonts w:cs="Times New Roman"/>
          <w:szCs w:val="21"/>
        </w:rPr>
        <w:t>」</w:t>
      </w:r>
      <w:r w:rsidR="008067AD" w:rsidRPr="005F6787">
        <w:rPr>
          <w:rFonts w:cs="Times New Roman"/>
          <w:szCs w:val="21"/>
        </w:rPr>
        <w:t>(Rn.873)</w:t>
      </w:r>
      <w:r w:rsidRPr="005F6787">
        <w:rPr>
          <w:rFonts w:cs="Times New Roman"/>
          <w:szCs w:val="21"/>
        </w:rPr>
        <w:t>。</w:t>
      </w:r>
    </w:p>
    <w:p w14:paraId="64013BC1" w14:textId="77777777" w:rsidR="0070575C" w:rsidRPr="005F6787" w:rsidRDefault="005606C8" w:rsidP="005606C8">
      <w:pPr>
        <w:ind w:firstLineChars="100" w:firstLine="210"/>
        <w:rPr>
          <w:szCs w:val="21"/>
        </w:rPr>
      </w:pPr>
      <w:r w:rsidRPr="005F6787">
        <w:rPr>
          <w:rFonts w:cs="Times New Roman"/>
          <w:szCs w:val="21"/>
        </w:rPr>
        <w:t>本決定は、これ以降、上の一般論を本件事案に即して詳論しているが、本稿では割愛する。</w:t>
      </w:r>
    </w:p>
    <w:p w14:paraId="1E5E42F7" w14:textId="77777777" w:rsidR="008338AA" w:rsidRPr="005F6787" w:rsidRDefault="008338AA" w:rsidP="002711B8">
      <w:pPr>
        <w:rPr>
          <w:szCs w:val="21"/>
        </w:rPr>
      </w:pPr>
    </w:p>
    <w:p w14:paraId="213BCE21" w14:textId="77777777" w:rsidR="002972CB" w:rsidRPr="005F6787" w:rsidRDefault="00601896" w:rsidP="00534BF5">
      <w:pPr>
        <w:pStyle w:val="1"/>
        <w:rPr>
          <w:rFonts w:asciiTheme="minorHAnsi" w:eastAsiaTheme="minorEastAsia" w:hAnsiTheme="minorHAnsi"/>
          <w:b/>
          <w:sz w:val="21"/>
          <w:szCs w:val="21"/>
        </w:rPr>
      </w:pPr>
      <w:r w:rsidRPr="005F6787">
        <w:rPr>
          <w:rFonts w:ascii="ＭＳ 明朝" w:eastAsia="ＭＳ 明朝" w:hAnsi="ＭＳ 明朝" w:cs="ＭＳ 明朝" w:hint="eastAsia"/>
          <w:b/>
          <w:sz w:val="21"/>
          <w:szCs w:val="21"/>
        </w:rPr>
        <w:lastRenderedPageBreak/>
        <w:t>Ⅲ</w:t>
      </w:r>
      <w:r w:rsidR="001455CD" w:rsidRPr="005F6787">
        <w:rPr>
          <w:rFonts w:asciiTheme="minorHAnsi" w:eastAsiaTheme="minorEastAsia" w:hAnsiTheme="minorHAnsi"/>
          <w:b/>
          <w:sz w:val="21"/>
          <w:szCs w:val="21"/>
        </w:rPr>
        <w:t>.</w:t>
      </w:r>
      <w:r w:rsidR="002972CB" w:rsidRPr="005F6787">
        <w:rPr>
          <w:rFonts w:asciiTheme="minorHAnsi" w:eastAsiaTheme="minorEastAsia" w:hAnsiTheme="minorHAnsi"/>
          <w:b/>
          <w:sz w:val="21"/>
          <w:szCs w:val="21"/>
        </w:rPr>
        <w:t xml:space="preserve"> </w:t>
      </w:r>
      <w:r w:rsidR="002972CB" w:rsidRPr="005F6787">
        <w:rPr>
          <w:rFonts w:asciiTheme="minorHAnsi" w:eastAsiaTheme="minorEastAsia" w:hAnsiTheme="minorHAnsi"/>
          <w:b/>
          <w:sz w:val="21"/>
          <w:szCs w:val="21"/>
        </w:rPr>
        <w:t>競争法と憲法・民法</w:t>
      </w:r>
    </w:p>
    <w:p w14:paraId="0E5F9E02" w14:textId="77777777" w:rsidR="002972CB" w:rsidRPr="005F6787" w:rsidRDefault="00601896" w:rsidP="00790A92">
      <w:pPr>
        <w:pStyle w:val="2"/>
        <w:rPr>
          <w:rFonts w:asciiTheme="minorHAnsi" w:eastAsiaTheme="minorEastAsia" w:hAnsiTheme="minorHAnsi"/>
          <w:b/>
          <w:szCs w:val="21"/>
        </w:rPr>
      </w:pPr>
      <w:r w:rsidRPr="005F6787">
        <w:rPr>
          <w:rFonts w:asciiTheme="minorHAnsi" w:eastAsiaTheme="minorEastAsia" w:hAnsiTheme="minorHAnsi"/>
          <w:b/>
          <w:szCs w:val="21"/>
        </w:rPr>
        <w:t xml:space="preserve">1. </w:t>
      </w:r>
      <w:r w:rsidR="002972CB" w:rsidRPr="005F6787">
        <w:rPr>
          <w:rFonts w:asciiTheme="minorHAnsi" w:eastAsiaTheme="minorEastAsia" w:hAnsiTheme="minorHAnsi"/>
          <w:b/>
          <w:szCs w:val="21"/>
        </w:rPr>
        <w:t>他の法律の援用</w:t>
      </w:r>
    </w:p>
    <w:p w14:paraId="053D7A49" w14:textId="77777777" w:rsidR="002972CB" w:rsidRPr="005F6787" w:rsidRDefault="002972CB" w:rsidP="00790A92">
      <w:pPr>
        <w:ind w:firstLineChars="100" w:firstLine="210"/>
        <w:rPr>
          <w:szCs w:val="21"/>
        </w:rPr>
      </w:pPr>
      <w:r w:rsidRPr="005F6787">
        <w:rPr>
          <w:szCs w:val="21"/>
        </w:rPr>
        <w:t>一般論として、競争法上の諸規定の要件該当性の判断の際、他の法律をこのように直接的に援用することは、通常みられない。法律概念の相対性の原則により、実定法としての各競争法のそれぞれの規定に即して、それらに内在する意味から解釈される</w:t>
      </w:r>
      <w:r w:rsidR="001455CD" w:rsidRPr="005F6787">
        <w:rPr>
          <w:szCs w:val="21"/>
        </w:rPr>
        <w:t>からで</w:t>
      </w:r>
      <w:r w:rsidRPr="005F6787">
        <w:rPr>
          <w:szCs w:val="21"/>
        </w:rPr>
        <w:t>ある。</w:t>
      </w:r>
    </w:p>
    <w:p w14:paraId="228907E8" w14:textId="77777777" w:rsidR="002972CB" w:rsidRPr="005F6787" w:rsidRDefault="002972CB" w:rsidP="00790A92">
      <w:pPr>
        <w:ind w:firstLineChars="100" w:firstLine="210"/>
        <w:rPr>
          <w:szCs w:val="21"/>
        </w:rPr>
      </w:pPr>
      <w:r w:rsidRPr="005F6787">
        <w:rPr>
          <w:szCs w:val="21"/>
        </w:rPr>
        <w:t>例えば、</w:t>
      </w:r>
      <w:r w:rsidRPr="005F6787">
        <w:rPr>
          <w:szCs w:val="21"/>
        </w:rPr>
        <w:t>NTT</w:t>
      </w:r>
      <w:r w:rsidRPr="005F6787">
        <w:rPr>
          <w:szCs w:val="21"/>
        </w:rPr>
        <w:t>東日本（私的独占）事件＝最判平成</w:t>
      </w:r>
      <w:r w:rsidRPr="005F6787">
        <w:rPr>
          <w:szCs w:val="21"/>
        </w:rPr>
        <w:t>22</w:t>
      </w:r>
      <w:r w:rsidRPr="005F6787">
        <w:rPr>
          <w:szCs w:val="21"/>
        </w:rPr>
        <w:t>・</w:t>
      </w:r>
      <w:r w:rsidRPr="005F6787">
        <w:rPr>
          <w:szCs w:val="21"/>
        </w:rPr>
        <w:t>12</w:t>
      </w:r>
      <w:r w:rsidRPr="005F6787">
        <w:rPr>
          <w:szCs w:val="21"/>
        </w:rPr>
        <w:t>・</w:t>
      </w:r>
      <w:r w:rsidRPr="005F6787">
        <w:rPr>
          <w:szCs w:val="21"/>
        </w:rPr>
        <w:t>17</w:t>
      </w:r>
      <w:r w:rsidRPr="005F6787">
        <w:rPr>
          <w:szCs w:val="21"/>
        </w:rPr>
        <w:t>（民集</w:t>
      </w:r>
      <w:r w:rsidRPr="005F6787">
        <w:rPr>
          <w:szCs w:val="21"/>
        </w:rPr>
        <w:t>64</w:t>
      </w:r>
      <w:r w:rsidRPr="005F6787">
        <w:rPr>
          <w:szCs w:val="21"/>
        </w:rPr>
        <w:t>巻</w:t>
      </w:r>
      <w:r w:rsidRPr="005F6787">
        <w:rPr>
          <w:szCs w:val="21"/>
        </w:rPr>
        <w:t>8</w:t>
      </w:r>
      <w:r w:rsidRPr="005F6787">
        <w:rPr>
          <w:szCs w:val="21"/>
        </w:rPr>
        <w:t>号</w:t>
      </w:r>
      <w:r w:rsidRPr="005F6787">
        <w:rPr>
          <w:szCs w:val="21"/>
        </w:rPr>
        <w:t>2067</w:t>
      </w:r>
      <w:r w:rsidRPr="005F6787">
        <w:rPr>
          <w:szCs w:val="21"/>
        </w:rPr>
        <w:t>頁）は、事業法上の規制があり、それに基づく規制が</w:t>
      </w:r>
      <w:r w:rsidRPr="005F6787">
        <w:rPr>
          <w:rFonts w:cs="ＭＳ明朝"/>
          <w:szCs w:val="21"/>
        </w:rPr>
        <w:t>発出されていないということで</w:t>
      </w:r>
      <w:r w:rsidRPr="005F6787">
        <w:rPr>
          <w:szCs w:val="21"/>
        </w:rPr>
        <w:t>、「</w:t>
      </w:r>
      <w:r w:rsidRPr="005F6787">
        <w:rPr>
          <w:rFonts w:cs="ＭＳ明朝"/>
          <w:szCs w:val="21"/>
        </w:rPr>
        <w:t>本件行為の独禁法上の評価が左右される余地もない」、と判示している。</w:t>
      </w:r>
    </w:p>
    <w:p w14:paraId="7E010A65" w14:textId="77777777" w:rsidR="002972CB" w:rsidRPr="005F6787" w:rsidRDefault="002972CB" w:rsidP="00790A92">
      <w:pPr>
        <w:ind w:firstLineChars="100" w:firstLine="210"/>
        <w:rPr>
          <w:szCs w:val="21"/>
        </w:rPr>
      </w:pPr>
      <w:r w:rsidRPr="005F6787">
        <w:rPr>
          <w:szCs w:val="21"/>
        </w:rPr>
        <w:t>しかし他方で、競争法上の規定の解釈の際に、他の法律が参照されることは、よく見られる。例えば、大阪バス協会事件＝審判審決平成</w:t>
      </w:r>
      <w:r w:rsidRPr="005F6787">
        <w:rPr>
          <w:szCs w:val="21"/>
        </w:rPr>
        <w:t>7</w:t>
      </w:r>
      <w:r w:rsidRPr="005F6787">
        <w:rPr>
          <w:szCs w:val="21"/>
        </w:rPr>
        <w:t>・</w:t>
      </w:r>
      <w:r w:rsidRPr="005F6787">
        <w:rPr>
          <w:szCs w:val="21"/>
        </w:rPr>
        <w:t>7</w:t>
      </w:r>
      <w:r w:rsidRPr="005F6787">
        <w:rPr>
          <w:szCs w:val="21"/>
        </w:rPr>
        <w:t>・</w:t>
      </w:r>
      <w:r w:rsidRPr="005F6787">
        <w:rPr>
          <w:szCs w:val="21"/>
        </w:rPr>
        <w:t>10</w:t>
      </w:r>
      <w:r w:rsidRPr="005F6787">
        <w:rPr>
          <w:szCs w:val="21"/>
        </w:rPr>
        <w:t>（審決集</w:t>
      </w:r>
      <w:r w:rsidRPr="005F6787">
        <w:rPr>
          <w:szCs w:val="21"/>
        </w:rPr>
        <w:t>42</w:t>
      </w:r>
      <w:r w:rsidRPr="005F6787">
        <w:rPr>
          <w:szCs w:val="21"/>
        </w:rPr>
        <w:t>巻</w:t>
      </w:r>
      <w:r w:rsidRPr="005F6787">
        <w:rPr>
          <w:szCs w:val="21"/>
        </w:rPr>
        <w:t>3</w:t>
      </w:r>
      <w:r w:rsidRPr="005F6787">
        <w:rPr>
          <w:szCs w:val="21"/>
        </w:rPr>
        <w:t>頁）に関連して、道路運送法上の料金規制に違反する低額運賃をなくすためのカルテルについて、「</w:t>
      </w:r>
      <w:r w:rsidRPr="005F6787">
        <w:rPr>
          <w:rFonts w:cs="ＭＳ ゴシック"/>
          <w:szCs w:val="21"/>
        </w:rPr>
        <w:t>独禁法上の違法性は、原則として独禁法固有の観点から判断されるべきであるが、同時に、それは社会の全体的法秩序という観点から、道路運送法上の規制をも１つの考慮要素として判断されなければならない」、と説かれる。また、「公共の利益」（</w:t>
      </w:r>
      <w:r w:rsidRPr="005F6787">
        <w:rPr>
          <w:rFonts w:cs="ＭＳ ゴシック"/>
          <w:szCs w:val="21"/>
        </w:rPr>
        <w:t>2</w:t>
      </w:r>
      <w:r w:rsidRPr="005F6787">
        <w:rPr>
          <w:rFonts w:cs="ＭＳ ゴシック"/>
          <w:szCs w:val="21"/>
        </w:rPr>
        <w:t>条</w:t>
      </w:r>
      <w:r w:rsidRPr="005F6787">
        <w:rPr>
          <w:rFonts w:cs="ＭＳ ゴシック"/>
          <w:szCs w:val="21"/>
        </w:rPr>
        <w:t>5</w:t>
      </w:r>
      <w:r w:rsidRPr="005F6787">
        <w:rPr>
          <w:rFonts w:cs="ＭＳ ゴシック"/>
          <w:szCs w:val="21"/>
        </w:rPr>
        <w:t>項、</w:t>
      </w:r>
      <w:r w:rsidRPr="005F6787">
        <w:rPr>
          <w:rFonts w:cs="ＭＳ ゴシック"/>
          <w:szCs w:val="21"/>
        </w:rPr>
        <w:t>6</w:t>
      </w:r>
      <w:r w:rsidRPr="005F6787">
        <w:rPr>
          <w:rFonts w:cs="ＭＳ ゴシック"/>
          <w:szCs w:val="21"/>
        </w:rPr>
        <w:t>項）の解釈においても</w:t>
      </w:r>
      <w:r w:rsidRPr="005F6787">
        <w:rPr>
          <w:szCs w:val="21"/>
        </w:rPr>
        <w:t>、独禁法以外の法律またはそれに基づく行政処分等をどう考慮に入れるかが議論されている</w:t>
      </w:r>
      <w:r w:rsidRPr="005F6787">
        <w:rPr>
          <w:rStyle w:val="ad"/>
          <w:szCs w:val="21"/>
        </w:rPr>
        <w:footnoteReference w:id="22"/>
      </w:r>
      <w:r w:rsidRPr="005F6787">
        <w:rPr>
          <w:szCs w:val="21"/>
        </w:rPr>
        <w:t>。</w:t>
      </w:r>
    </w:p>
    <w:p w14:paraId="08F8D0F6" w14:textId="77777777" w:rsidR="002972CB" w:rsidRPr="005F6787" w:rsidRDefault="002972CB" w:rsidP="002711B8">
      <w:pPr>
        <w:rPr>
          <w:szCs w:val="21"/>
        </w:rPr>
      </w:pPr>
      <w:r w:rsidRPr="005F6787">
        <w:rPr>
          <w:szCs w:val="21"/>
        </w:rPr>
        <w:t xml:space="preserve">　これに対し、前記の</w:t>
      </w:r>
      <w:r w:rsidR="00815C6D" w:rsidRPr="005F6787">
        <w:rPr>
          <w:szCs w:val="21"/>
        </w:rPr>
        <w:t>「</w:t>
      </w:r>
      <w:r w:rsidRPr="005F6787">
        <w:rPr>
          <w:szCs w:val="21"/>
        </w:rPr>
        <w:t>2</w:t>
      </w:r>
      <w:r w:rsidRPr="005F6787">
        <w:rPr>
          <w:szCs w:val="21"/>
        </w:rPr>
        <w:t>重の評価</w:t>
      </w:r>
      <w:r w:rsidR="00815C6D" w:rsidRPr="005F6787">
        <w:rPr>
          <w:szCs w:val="21"/>
        </w:rPr>
        <w:t>」</w:t>
      </w:r>
      <w:r w:rsidRPr="005F6787">
        <w:rPr>
          <w:szCs w:val="21"/>
        </w:rPr>
        <w:t>の見方では、ドイツの２つの連邦通常裁判所判決と本決定をあわせて理解すれば、</w:t>
      </w:r>
      <w:r w:rsidRPr="005F6787">
        <w:rPr>
          <w:szCs w:val="21"/>
        </w:rPr>
        <w:t>GDPR</w:t>
      </w:r>
      <w:r w:rsidRPr="005F6787">
        <w:rPr>
          <w:szCs w:val="21"/>
        </w:rPr>
        <w:t>や民法による法的評価が基本権侵害を導くということをいわば直接援用し、そのことが市場力または優越的市場地位の不当な行使の表れとして捉えられる場合、競争法上の濫用に当たると判断される、という筋道になる。</w:t>
      </w:r>
    </w:p>
    <w:p w14:paraId="4C75220B" w14:textId="77777777" w:rsidR="002972CB" w:rsidRPr="005F6787" w:rsidRDefault="002972CB" w:rsidP="002711B8">
      <w:pPr>
        <w:ind w:firstLineChars="100" w:firstLine="210"/>
        <w:jc w:val="left"/>
        <w:rPr>
          <w:szCs w:val="21"/>
        </w:rPr>
      </w:pPr>
      <w:r w:rsidRPr="005F6787">
        <w:rPr>
          <w:szCs w:val="21"/>
        </w:rPr>
        <w:t>ここでは、契約当事者、具体的には</w:t>
      </w:r>
      <w:r w:rsidRPr="005F6787">
        <w:rPr>
          <w:szCs w:val="21"/>
        </w:rPr>
        <w:t>FB</w:t>
      </w:r>
      <w:r w:rsidRPr="005F6787">
        <w:rPr>
          <w:szCs w:val="21"/>
        </w:rPr>
        <w:t>と消費者には、それぞれ憲法上保障されている基本権が認められ、ある行為を濫用に当たるとするためには、両者の基本権を含んだ利益衡量が必要とされる。なお、このような見方は、ドイツの判例・有力説となっている、いわゆる「基本権保護義務」論が採る構成に適合的であると考えられる</w:t>
      </w:r>
      <w:r w:rsidRPr="005F6787">
        <w:rPr>
          <w:rStyle w:val="ad"/>
          <w:szCs w:val="21"/>
        </w:rPr>
        <w:footnoteReference w:id="23"/>
      </w:r>
      <w:r w:rsidRPr="005F6787">
        <w:rPr>
          <w:szCs w:val="21"/>
        </w:rPr>
        <w:t>。</w:t>
      </w:r>
    </w:p>
    <w:p w14:paraId="44A7CE12" w14:textId="77777777" w:rsidR="002972CB" w:rsidRPr="005F6787" w:rsidRDefault="002972CB" w:rsidP="002711B8">
      <w:pPr>
        <w:rPr>
          <w:szCs w:val="21"/>
        </w:rPr>
      </w:pPr>
    </w:p>
    <w:p w14:paraId="74996CB7" w14:textId="77777777" w:rsidR="002972CB" w:rsidRPr="005F6787" w:rsidRDefault="00601896" w:rsidP="008D71DC">
      <w:pPr>
        <w:pStyle w:val="2"/>
        <w:rPr>
          <w:rFonts w:asciiTheme="minorHAnsi" w:eastAsiaTheme="minorEastAsia" w:hAnsiTheme="minorHAnsi"/>
          <w:b/>
          <w:szCs w:val="21"/>
        </w:rPr>
      </w:pPr>
      <w:r w:rsidRPr="005F6787">
        <w:rPr>
          <w:rFonts w:asciiTheme="minorHAnsi" w:eastAsiaTheme="minorEastAsia" w:hAnsiTheme="minorHAnsi"/>
          <w:b/>
          <w:szCs w:val="21"/>
        </w:rPr>
        <w:t>2.</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民法・憲法と競争法の価値的関連性</w:t>
      </w:r>
    </w:p>
    <w:p w14:paraId="3CECA310" w14:textId="77777777" w:rsidR="002972CB" w:rsidRPr="005F6787" w:rsidRDefault="002972CB" w:rsidP="005B1CBA">
      <w:pPr>
        <w:ind w:firstLineChars="100" w:firstLine="210"/>
        <w:rPr>
          <w:szCs w:val="21"/>
        </w:rPr>
      </w:pPr>
      <w:r w:rsidRPr="005F6787">
        <w:rPr>
          <w:szCs w:val="21"/>
        </w:rPr>
        <w:t>前記の</w:t>
      </w:r>
      <w:r w:rsidR="003573E3" w:rsidRPr="005F6787">
        <w:rPr>
          <w:szCs w:val="21"/>
        </w:rPr>
        <w:t>「</w:t>
      </w:r>
      <w:r w:rsidRPr="005F6787">
        <w:rPr>
          <w:szCs w:val="21"/>
        </w:rPr>
        <w:t>2</w:t>
      </w:r>
      <w:r w:rsidRPr="005F6787">
        <w:rPr>
          <w:szCs w:val="21"/>
        </w:rPr>
        <w:t>重の評価</w:t>
      </w:r>
      <w:r w:rsidR="003573E3" w:rsidRPr="005F6787">
        <w:rPr>
          <w:szCs w:val="21"/>
        </w:rPr>
        <w:t>」</w:t>
      </w:r>
      <w:r w:rsidRPr="005F6787">
        <w:rPr>
          <w:szCs w:val="21"/>
        </w:rPr>
        <w:t>の前提は、</w:t>
      </w:r>
      <w:r w:rsidRPr="005F6787">
        <w:rPr>
          <w:szCs w:val="21"/>
        </w:rPr>
        <w:t>a. GDPR</w:t>
      </w:r>
      <w:r w:rsidRPr="005F6787">
        <w:rPr>
          <w:szCs w:val="21"/>
        </w:rPr>
        <w:t>や民法による法的評価が基本権侵害をもたらしうる、という</w:t>
      </w:r>
      <w:r w:rsidRPr="005F6787">
        <w:rPr>
          <w:szCs w:val="21"/>
        </w:rPr>
        <w:t>GDPR</w:t>
      </w:r>
      <w:r w:rsidRPr="005F6787">
        <w:rPr>
          <w:szCs w:val="21"/>
        </w:rPr>
        <w:t>・民法と憲法上の基本権の関係、</w:t>
      </w:r>
      <w:r w:rsidRPr="005F6787">
        <w:rPr>
          <w:szCs w:val="21"/>
        </w:rPr>
        <w:t>b. GDPR</w:t>
      </w:r>
      <w:r w:rsidRPr="005F6787">
        <w:rPr>
          <w:szCs w:val="21"/>
        </w:rPr>
        <w:t>・民法・憲法と</w:t>
      </w:r>
      <w:r w:rsidR="00910095" w:rsidRPr="005F6787">
        <w:rPr>
          <w:szCs w:val="21"/>
        </w:rPr>
        <w:t>競争制限禁止法</w:t>
      </w:r>
      <w:r w:rsidRPr="005F6787">
        <w:rPr>
          <w:szCs w:val="21"/>
        </w:rPr>
        <w:t>の関係、の</w:t>
      </w:r>
      <w:r w:rsidRPr="005F6787">
        <w:rPr>
          <w:szCs w:val="21"/>
        </w:rPr>
        <w:t>2</w:t>
      </w:r>
      <w:r w:rsidRPr="005F6787">
        <w:rPr>
          <w:szCs w:val="21"/>
        </w:rPr>
        <w:t>点であり、いずれも、これら諸法の基礎にある法目的ないし保護法益の共通性・関連性を示している。</w:t>
      </w:r>
    </w:p>
    <w:p w14:paraId="5D387CF2" w14:textId="77777777" w:rsidR="002972CB" w:rsidRPr="005F6787" w:rsidRDefault="002972CB" w:rsidP="002711B8">
      <w:pPr>
        <w:rPr>
          <w:szCs w:val="21"/>
        </w:rPr>
      </w:pPr>
      <w:r w:rsidRPr="005F6787">
        <w:rPr>
          <w:szCs w:val="21"/>
        </w:rPr>
        <w:lastRenderedPageBreak/>
        <w:t xml:space="preserve">  </w:t>
      </w:r>
      <w:r w:rsidRPr="005F6787">
        <w:rPr>
          <w:szCs w:val="21"/>
        </w:rPr>
        <w:t>憲法と</w:t>
      </w:r>
      <w:r w:rsidR="00910095" w:rsidRPr="005F6787">
        <w:rPr>
          <w:szCs w:val="21"/>
        </w:rPr>
        <w:t>競争制限禁止法</w:t>
      </w:r>
      <w:r w:rsidRPr="005F6787">
        <w:rPr>
          <w:szCs w:val="21"/>
        </w:rPr>
        <w:t>の関係について、まず触れておくべきこととして、ドイツ</w:t>
      </w:r>
      <w:r w:rsidRPr="005F6787">
        <w:rPr>
          <w:szCs w:val="21"/>
        </w:rPr>
        <w:t>GWB</w:t>
      </w:r>
      <w:r w:rsidRPr="005F6787">
        <w:rPr>
          <w:szCs w:val="21"/>
        </w:rPr>
        <w:t>は、濫用規制、カルテル規制、集中規制を</w:t>
      </w:r>
      <w:r w:rsidRPr="005F6787">
        <w:rPr>
          <w:szCs w:val="21"/>
        </w:rPr>
        <w:t>3</w:t>
      </w:r>
      <w:r w:rsidRPr="005F6787">
        <w:rPr>
          <w:szCs w:val="21"/>
        </w:rPr>
        <w:t>つの柱とすると理解されているが、その中で、濫用規制についてだけ、ドイツ基本法</w:t>
      </w:r>
      <w:r w:rsidRPr="005F6787">
        <w:rPr>
          <w:szCs w:val="21"/>
        </w:rPr>
        <w:t>74</w:t>
      </w:r>
      <w:r w:rsidRPr="005F6787">
        <w:rPr>
          <w:szCs w:val="21"/>
        </w:rPr>
        <w:t>条</w:t>
      </w:r>
      <w:r w:rsidRPr="005F6787">
        <w:rPr>
          <w:szCs w:val="21"/>
        </w:rPr>
        <w:t>1</w:t>
      </w:r>
      <w:r w:rsidRPr="005F6787">
        <w:rPr>
          <w:szCs w:val="21"/>
        </w:rPr>
        <w:t>項</w:t>
      </w:r>
      <w:r w:rsidRPr="005F6787">
        <w:rPr>
          <w:szCs w:val="21"/>
        </w:rPr>
        <w:t>16</w:t>
      </w:r>
      <w:r w:rsidRPr="005F6787">
        <w:rPr>
          <w:szCs w:val="21"/>
        </w:rPr>
        <w:t>号において、連邦の競合的立法権限のカタログとして、「経済的権力の濫用の防止」（</w:t>
      </w:r>
      <w:r w:rsidRPr="005F6787">
        <w:rPr>
          <w:szCs w:val="21"/>
        </w:rPr>
        <w:t>die Verhütung des Mißbrauchs wirtschaftlicher Machtstellung</w:t>
      </w:r>
      <w:r w:rsidRPr="005F6787">
        <w:rPr>
          <w:szCs w:val="21"/>
        </w:rPr>
        <w:t>）が明示されている。</w:t>
      </w:r>
    </w:p>
    <w:p w14:paraId="5B1E2B7A" w14:textId="77777777" w:rsidR="002972CB" w:rsidRPr="005F6787" w:rsidRDefault="002972CB" w:rsidP="005B1CBA">
      <w:pPr>
        <w:ind w:firstLineChars="100" w:firstLine="210"/>
        <w:rPr>
          <w:szCs w:val="21"/>
        </w:rPr>
      </w:pPr>
      <w:r w:rsidRPr="005F6787">
        <w:rPr>
          <w:szCs w:val="21"/>
        </w:rPr>
        <w:t>これを踏まえ、「濫用規制によって、立法者は、基本法の定める権限規範と、経済的基本権に含意されている保護約束を果たしている」、「競争における事業者の行為は、基本権としてのポジション</w:t>
      </w:r>
      <w:r w:rsidRPr="005F6787">
        <w:rPr>
          <w:szCs w:val="21"/>
        </w:rPr>
        <w:t>(Grundrechtspositionen)</w:t>
      </w:r>
      <w:r w:rsidRPr="005F6787">
        <w:rPr>
          <w:szCs w:val="21"/>
        </w:rPr>
        <w:t>の活動である」、と説かれている</w:t>
      </w:r>
      <w:r w:rsidRPr="005F6787">
        <w:rPr>
          <w:rStyle w:val="ad"/>
          <w:szCs w:val="21"/>
        </w:rPr>
        <w:footnoteReference w:id="24"/>
      </w:r>
      <w:r w:rsidRPr="005F6787">
        <w:rPr>
          <w:szCs w:val="21"/>
        </w:rPr>
        <w:t>。</w:t>
      </w:r>
    </w:p>
    <w:p w14:paraId="2F76BFD0" w14:textId="77777777" w:rsidR="002972CB" w:rsidRPr="005F6787" w:rsidRDefault="002972CB" w:rsidP="005B1CBA">
      <w:pPr>
        <w:rPr>
          <w:szCs w:val="21"/>
        </w:rPr>
      </w:pPr>
      <w:r w:rsidRPr="005F6787">
        <w:rPr>
          <w:szCs w:val="21"/>
        </w:rPr>
        <w:t xml:space="preserve">　ところで、個人情報保護法・民法・憲法の法目的ないし保護法益の共通性・関連性を考える際の出発点は、あらためて基本権の法的内容・性格を考え直すということであろう。以下、この点についてさらに検討する。</w:t>
      </w:r>
    </w:p>
    <w:p w14:paraId="79A955E4" w14:textId="77777777" w:rsidR="002972CB" w:rsidRPr="005F6787" w:rsidRDefault="002972CB" w:rsidP="002711B8">
      <w:pPr>
        <w:ind w:firstLineChars="100" w:firstLine="210"/>
        <w:rPr>
          <w:szCs w:val="21"/>
        </w:rPr>
      </w:pPr>
    </w:p>
    <w:p w14:paraId="70510908" w14:textId="77777777" w:rsidR="002972CB" w:rsidRPr="005F6787" w:rsidRDefault="00601896" w:rsidP="00601896">
      <w:pPr>
        <w:pStyle w:val="2"/>
        <w:rPr>
          <w:rFonts w:asciiTheme="minorHAnsi" w:hAnsiTheme="minorHAnsi"/>
        </w:rPr>
      </w:pPr>
      <w:r w:rsidRPr="005F6787">
        <w:rPr>
          <w:rFonts w:asciiTheme="minorHAnsi" w:hAnsiTheme="minorHAnsi"/>
        </w:rPr>
        <w:t>3.</w:t>
      </w:r>
      <w:r w:rsidR="002972CB" w:rsidRPr="005F6787">
        <w:rPr>
          <w:rFonts w:asciiTheme="minorHAnsi" w:hAnsiTheme="minorHAnsi"/>
        </w:rPr>
        <w:t>「自己決定」と「他者決定」</w:t>
      </w:r>
    </w:p>
    <w:p w14:paraId="6FD465D3" w14:textId="77777777" w:rsidR="002972CB" w:rsidRPr="005F6787" w:rsidRDefault="00601896" w:rsidP="004F26F1">
      <w:pPr>
        <w:pStyle w:val="2"/>
        <w:rPr>
          <w:rFonts w:asciiTheme="minorHAnsi" w:eastAsiaTheme="minorEastAsia" w:hAnsiTheme="minorHAnsi"/>
          <w:b/>
          <w:szCs w:val="21"/>
        </w:rPr>
      </w:pPr>
      <w:r w:rsidRPr="005F6787">
        <w:rPr>
          <w:rFonts w:asciiTheme="minorHAnsi" w:eastAsiaTheme="minorEastAsia" w:hAnsiTheme="minorHAnsi"/>
          <w:b/>
          <w:szCs w:val="21"/>
        </w:rPr>
        <w:t>(1</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cs="Arial"/>
          <w:b/>
          <w:szCs w:val="21"/>
          <w:shd w:val="clear" w:color="auto" w:fill="FFFFFF"/>
        </w:rPr>
        <w:t>連邦通常裁判所</w:t>
      </w:r>
      <w:r w:rsidR="002972CB" w:rsidRPr="005F6787">
        <w:rPr>
          <w:rFonts w:asciiTheme="minorHAnsi" w:eastAsiaTheme="minorEastAsia" w:hAnsiTheme="minorHAnsi"/>
          <w:b/>
          <w:szCs w:val="21"/>
        </w:rPr>
        <w:t>「連帯保証決定」</w:t>
      </w:r>
    </w:p>
    <w:p w14:paraId="42533B79" w14:textId="77777777" w:rsidR="002972CB" w:rsidRPr="005F6787" w:rsidRDefault="002972CB" w:rsidP="004F26F1">
      <w:pPr>
        <w:ind w:firstLineChars="100" w:firstLine="210"/>
        <w:rPr>
          <w:szCs w:val="21"/>
        </w:rPr>
      </w:pPr>
      <w:r w:rsidRPr="005F6787">
        <w:rPr>
          <w:szCs w:val="21"/>
        </w:rPr>
        <w:t>前出の</w:t>
      </w:r>
      <w:r w:rsidRPr="005F6787">
        <w:rPr>
          <w:rFonts w:cs="Arial"/>
          <w:szCs w:val="21"/>
          <w:shd w:val="clear" w:color="auto" w:fill="FFFFFF"/>
        </w:rPr>
        <w:t>Pechstein</w:t>
      </w:r>
      <w:r w:rsidRPr="005F6787">
        <w:rPr>
          <w:rFonts w:cs="Arial"/>
          <w:szCs w:val="21"/>
          <w:shd w:val="clear" w:color="auto" w:fill="FFFFFF"/>
        </w:rPr>
        <w:t>事件</w:t>
      </w:r>
      <w:r w:rsidR="003573E3" w:rsidRPr="005F6787">
        <w:rPr>
          <w:rFonts w:cs="Arial"/>
          <w:szCs w:val="21"/>
          <w:shd w:val="clear" w:color="auto" w:fill="FFFFFF"/>
        </w:rPr>
        <w:t>＝</w:t>
      </w:r>
      <w:r w:rsidRPr="005F6787">
        <w:rPr>
          <w:rFonts w:cs="Arial"/>
          <w:szCs w:val="21"/>
          <w:shd w:val="clear" w:color="auto" w:fill="FFFFFF"/>
        </w:rPr>
        <w:t>連邦通常裁判所（</w:t>
      </w:r>
      <w:r w:rsidRPr="005F6787">
        <w:rPr>
          <w:rFonts w:cs="Arial"/>
          <w:szCs w:val="21"/>
          <w:shd w:val="clear" w:color="auto" w:fill="FFFFFF"/>
        </w:rPr>
        <w:t>BGH</w:t>
      </w:r>
      <w:r w:rsidRPr="005F6787">
        <w:rPr>
          <w:rFonts w:cs="Arial"/>
          <w:szCs w:val="21"/>
          <w:shd w:val="clear" w:color="auto" w:fill="FFFFFF"/>
        </w:rPr>
        <w:t>）判決は、</w:t>
      </w:r>
      <w:r w:rsidRPr="005F6787">
        <w:rPr>
          <w:szCs w:val="21"/>
        </w:rPr>
        <w:t>GWB</w:t>
      </w:r>
      <w:r w:rsidRPr="005F6787">
        <w:rPr>
          <w:szCs w:val="21"/>
        </w:rPr>
        <w:t>上の濫用に当たるか否かを判断するには、基本権を含む包括的な利益衡量が必要であり、その際には、契約当事者間において一方が顕著な優位性を有する場合、他方当事者にとって契約条項は「他者決定」となる、と述べた。</w:t>
      </w:r>
    </w:p>
    <w:p w14:paraId="0E1D797C" w14:textId="77777777" w:rsidR="00601896" w:rsidRPr="005F6787" w:rsidRDefault="002972CB" w:rsidP="00047399">
      <w:pPr>
        <w:ind w:firstLineChars="100" w:firstLine="210"/>
        <w:rPr>
          <w:szCs w:val="21"/>
        </w:rPr>
      </w:pPr>
      <w:r w:rsidRPr="005F6787">
        <w:rPr>
          <w:rFonts w:cs="Arial"/>
          <w:szCs w:val="21"/>
          <w:shd w:val="clear" w:color="auto" w:fill="FFFFFF"/>
        </w:rPr>
        <w:t>すなわち、「</w:t>
      </w:r>
      <w:r w:rsidRPr="005F6787">
        <w:rPr>
          <w:szCs w:val="21"/>
        </w:rPr>
        <w:t>当事者の一方が強い優位性をもち、契約上の規制を事実上一方的に設定できるとき、他方当事者には</w:t>
      </w:r>
      <w:r w:rsidRPr="005F6787">
        <w:rPr>
          <w:szCs w:val="21"/>
          <w:u w:val="single"/>
        </w:rPr>
        <w:t>他者決定</w:t>
      </w:r>
      <w:r w:rsidRPr="005F6787">
        <w:rPr>
          <w:szCs w:val="21"/>
        </w:rPr>
        <w:t>として作用する。そのような場合、基本権を確保するた</w:t>
      </w:r>
      <w:r w:rsidR="00D20051" w:rsidRPr="005F6787">
        <w:rPr>
          <w:szCs w:val="21"/>
        </w:rPr>
        <w:t>めに、国家による規制が調整的に行われなければならない（ここで、下記の</w:t>
      </w:r>
      <w:r w:rsidR="00D20051" w:rsidRPr="005F6787">
        <w:rPr>
          <w:rFonts w:cs="Arial"/>
          <w:szCs w:val="21"/>
          <w:shd w:val="clear" w:color="auto" w:fill="FFFFFF"/>
        </w:rPr>
        <w:t>連邦通常裁判所「</w:t>
      </w:r>
      <w:r w:rsidRPr="005F6787">
        <w:rPr>
          <w:szCs w:val="21"/>
        </w:rPr>
        <w:t>連帯保証決定</w:t>
      </w:r>
      <w:r w:rsidR="00D20051" w:rsidRPr="005F6787">
        <w:rPr>
          <w:szCs w:val="21"/>
        </w:rPr>
        <w:t>」</w:t>
      </w:r>
      <w:r w:rsidRPr="005F6787">
        <w:rPr>
          <w:szCs w:val="21"/>
        </w:rPr>
        <w:t>等の判決が引用されている</w:t>
      </w:r>
      <w:r w:rsidRPr="005F6787">
        <w:rPr>
          <w:szCs w:val="21"/>
        </w:rPr>
        <w:t>---</w:t>
      </w:r>
      <w:r w:rsidRPr="005F6787">
        <w:rPr>
          <w:szCs w:val="21"/>
        </w:rPr>
        <w:t>舟田注）。</w:t>
      </w:r>
    </w:p>
    <w:p w14:paraId="1BCA4C70" w14:textId="77777777" w:rsidR="002972CB" w:rsidRPr="005F6787" w:rsidRDefault="002972CB" w:rsidP="00047399">
      <w:pPr>
        <w:ind w:firstLineChars="100" w:firstLine="210"/>
        <w:rPr>
          <w:szCs w:val="21"/>
        </w:rPr>
      </w:pPr>
      <w:r w:rsidRPr="005F6787">
        <w:rPr>
          <w:szCs w:val="21"/>
        </w:rPr>
        <w:t>このような他者決定の場合、</w:t>
      </w:r>
      <w:r w:rsidRPr="005F6787">
        <w:rPr>
          <w:szCs w:val="21"/>
          <w:u w:val="single"/>
        </w:rPr>
        <w:t>基本権の確保のためには、私法上の一般条項（これには</w:t>
      </w:r>
      <w:r w:rsidRPr="005F6787">
        <w:rPr>
          <w:szCs w:val="21"/>
          <w:u w:val="single"/>
        </w:rPr>
        <w:t>GWB19</w:t>
      </w:r>
      <w:r w:rsidRPr="005F6787">
        <w:rPr>
          <w:szCs w:val="21"/>
          <w:u w:val="single"/>
        </w:rPr>
        <w:t>条も含まれる）</w:t>
      </w:r>
      <w:r w:rsidRPr="005F6787">
        <w:rPr>
          <w:szCs w:val="21"/>
        </w:rPr>
        <w:t>を引き合いに出さねばならない。両当事者の衝突する基本権の地位は、それらの相互作用において見るべきであり、また、それはすべての関係人にとって可能な限り広く有効となるように限界付けられるべきである」。</w:t>
      </w:r>
      <w:r w:rsidRPr="005F6787">
        <w:rPr>
          <w:szCs w:val="21"/>
        </w:rPr>
        <w:t>(</w:t>
      </w:r>
      <w:r w:rsidRPr="005F6787">
        <w:rPr>
          <w:rFonts w:cs="Arial"/>
          <w:szCs w:val="21"/>
          <w:shd w:val="clear" w:color="auto" w:fill="FFFFFF"/>
        </w:rPr>
        <w:t>Pechstein</w:t>
      </w:r>
      <w:r w:rsidRPr="005F6787">
        <w:rPr>
          <w:rFonts w:cs="Arial"/>
          <w:szCs w:val="21"/>
          <w:shd w:val="clear" w:color="auto" w:fill="FFFFFF"/>
        </w:rPr>
        <w:t>事件</w:t>
      </w:r>
      <w:r w:rsidRPr="005F6787">
        <w:rPr>
          <w:rFonts w:cs="Arial"/>
          <w:szCs w:val="21"/>
          <w:shd w:val="clear" w:color="auto" w:fill="FFFFFF"/>
        </w:rPr>
        <w:t>BGH</w:t>
      </w:r>
      <w:r w:rsidRPr="005F6787">
        <w:rPr>
          <w:rFonts w:cs="Arial"/>
          <w:szCs w:val="21"/>
          <w:shd w:val="clear" w:color="auto" w:fill="FFFFFF"/>
        </w:rPr>
        <w:t>判決</w:t>
      </w:r>
      <w:r w:rsidRPr="005F6787">
        <w:rPr>
          <w:szCs w:val="21"/>
        </w:rPr>
        <w:t>Rn.55-57</w:t>
      </w:r>
      <w:r w:rsidRPr="005F6787">
        <w:rPr>
          <w:rFonts w:cs="Arial"/>
          <w:szCs w:val="21"/>
          <w:shd w:val="clear" w:color="auto" w:fill="FFFFFF"/>
        </w:rPr>
        <w:t xml:space="preserve">. </w:t>
      </w:r>
      <w:r w:rsidRPr="005F6787">
        <w:rPr>
          <w:rFonts w:cs="Arial"/>
          <w:szCs w:val="21"/>
          <w:shd w:val="clear" w:color="auto" w:fill="FFFFFF"/>
        </w:rPr>
        <w:t>下線は舟田）。</w:t>
      </w:r>
      <w:r w:rsidRPr="005F6787">
        <w:rPr>
          <w:szCs w:val="21"/>
        </w:rPr>
        <w:t xml:space="preserve">　</w:t>
      </w:r>
    </w:p>
    <w:p w14:paraId="3AE3159E" w14:textId="77777777" w:rsidR="002972CB" w:rsidRPr="005F6787" w:rsidRDefault="00BD61BD" w:rsidP="00B23C52">
      <w:pPr>
        <w:ind w:firstLineChars="100" w:firstLine="210"/>
        <w:rPr>
          <w:szCs w:val="21"/>
        </w:rPr>
      </w:pPr>
      <w:r w:rsidRPr="005F6787">
        <w:rPr>
          <w:szCs w:val="21"/>
        </w:rPr>
        <w:t>こ</w:t>
      </w:r>
      <w:r w:rsidR="002972CB" w:rsidRPr="005F6787">
        <w:rPr>
          <w:szCs w:val="21"/>
        </w:rPr>
        <w:t>の</w:t>
      </w:r>
      <w:r w:rsidR="002972CB" w:rsidRPr="005F6787">
        <w:rPr>
          <w:rFonts w:cs="Arial"/>
          <w:szCs w:val="21"/>
          <w:shd w:val="clear" w:color="auto" w:fill="FFFFFF"/>
        </w:rPr>
        <w:t>Pechstein</w:t>
      </w:r>
      <w:r w:rsidR="002972CB" w:rsidRPr="005F6787">
        <w:rPr>
          <w:rFonts w:cs="Arial"/>
          <w:szCs w:val="21"/>
          <w:shd w:val="clear" w:color="auto" w:fill="FFFFFF"/>
        </w:rPr>
        <w:t>事件</w:t>
      </w:r>
      <w:r w:rsidR="003573E3" w:rsidRPr="005F6787">
        <w:rPr>
          <w:rFonts w:cs="Arial"/>
          <w:szCs w:val="21"/>
          <w:shd w:val="clear" w:color="auto" w:fill="FFFFFF"/>
        </w:rPr>
        <w:t>＝</w:t>
      </w:r>
      <w:r w:rsidR="002972CB" w:rsidRPr="005F6787">
        <w:rPr>
          <w:rFonts w:cs="Arial"/>
          <w:szCs w:val="21"/>
          <w:shd w:val="clear" w:color="auto" w:fill="FFFFFF"/>
        </w:rPr>
        <w:t>連邦通常裁判所判決が触れる</w:t>
      </w:r>
      <w:r w:rsidR="002972CB" w:rsidRPr="005F6787">
        <w:rPr>
          <w:szCs w:val="21"/>
        </w:rPr>
        <w:t>「他者決定」について、ドイツでは、経済的行為自由などの基本権に関する比較衡量の際に、「自己決定」と「他者決定」という概念が以前から用いられてきた。</w:t>
      </w:r>
    </w:p>
    <w:p w14:paraId="34C11954" w14:textId="4F5FAD73" w:rsidR="002972CB" w:rsidRPr="005F6787" w:rsidRDefault="002972CB" w:rsidP="00B23C52">
      <w:pPr>
        <w:ind w:firstLineChars="100" w:firstLine="210"/>
        <w:rPr>
          <w:szCs w:val="21"/>
        </w:rPr>
      </w:pPr>
      <w:r w:rsidRPr="005F6787">
        <w:rPr>
          <w:szCs w:val="21"/>
        </w:rPr>
        <w:t>そのリーディング・ケースの１つとされるドイツ連邦憲法裁判所</w:t>
      </w:r>
      <w:bookmarkStart w:id="7" w:name="_Hlk58746827"/>
      <w:r w:rsidR="0070238D" w:rsidRPr="005F6787">
        <w:rPr>
          <w:szCs w:val="21"/>
        </w:rPr>
        <w:t>「連帯保証決定」</w:t>
      </w:r>
      <w:bookmarkEnd w:id="7"/>
      <w:r w:rsidRPr="005F6787">
        <w:rPr>
          <w:szCs w:val="21"/>
        </w:rPr>
        <w:t>1993</w:t>
      </w:r>
      <w:r w:rsidRPr="005F6787">
        <w:rPr>
          <w:szCs w:val="21"/>
        </w:rPr>
        <w:t>年</w:t>
      </w:r>
      <w:r w:rsidRPr="005F6787">
        <w:rPr>
          <w:szCs w:val="21"/>
        </w:rPr>
        <w:t>10</w:t>
      </w:r>
      <w:r w:rsidRPr="005F6787">
        <w:rPr>
          <w:szCs w:val="21"/>
        </w:rPr>
        <w:t>月</w:t>
      </w:r>
      <w:r w:rsidRPr="005F6787">
        <w:rPr>
          <w:szCs w:val="21"/>
        </w:rPr>
        <w:t xml:space="preserve"> 19</w:t>
      </w:r>
      <w:r w:rsidRPr="005F6787">
        <w:rPr>
          <w:szCs w:val="21"/>
        </w:rPr>
        <w:t>日</w:t>
      </w:r>
      <w:bookmarkStart w:id="8" w:name="_Hlk58746841"/>
      <w:r w:rsidRPr="005F6787">
        <w:rPr>
          <w:szCs w:val="21"/>
        </w:rPr>
        <w:t>（</w:t>
      </w:r>
      <w:r w:rsidR="0070238D" w:rsidRPr="005F6787">
        <w:t>BVerfGE 89,214</w:t>
      </w:r>
      <w:r w:rsidRPr="005F6787">
        <w:rPr>
          <w:szCs w:val="21"/>
        </w:rPr>
        <w:t>）</w:t>
      </w:r>
      <w:bookmarkEnd w:id="8"/>
      <w:r w:rsidRPr="005F6787">
        <w:rPr>
          <w:szCs w:val="21"/>
        </w:rPr>
        <w:t>は、親の連帯保証人となった無収入・無資力の</w:t>
      </w:r>
      <w:r w:rsidRPr="005F6787">
        <w:rPr>
          <w:szCs w:val="21"/>
        </w:rPr>
        <w:t>21</w:t>
      </w:r>
      <w:r w:rsidRPr="005F6787">
        <w:rPr>
          <w:szCs w:val="21"/>
        </w:rPr>
        <w:t>歳の娘が、当該連帯保証の効力を争った事案につき、以下のように判示し、無効とした</w:t>
      </w:r>
      <w:r w:rsidRPr="005F6787">
        <w:rPr>
          <w:rStyle w:val="ad"/>
          <w:szCs w:val="21"/>
        </w:rPr>
        <w:footnoteReference w:id="25"/>
      </w:r>
      <w:r w:rsidRPr="005F6787">
        <w:rPr>
          <w:szCs w:val="21"/>
        </w:rPr>
        <w:t>。</w:t>
      </w:r>
    </w:p>
    <w:p w14:paraId="6EF57791" w14:textId="77777777" w:rsidR="002972CB" w:rsidRPr="005F6787" w:rsidRDefault="002972CB" w:rsidP="002711B8">
      <w:pPr>
        <w:ind w:firstLineChars="100" w:firstLine="210"/>
        <w:rPr>
          <w:szCs w:val="21"/>
        </w:rPr>
      </w:pPr>
      <w:r w:rsidRPr="005F6787">
        <w:rPr>
          <w:szCs w:val="21"/>
        </w:rPr>
        <w:lastRenderedPageBreak/>
        <w:t>「各人が自己の意思に従い法的関係を形成することは、一般的行為自由の一部である。ドイツの基本法</w:t>
      </w:r>
      <w:r w:rsidRPr="005F6787">
        <w:rPr>
          <w:szCs w:val="21"/>
        </w:rPr>
        <w:t>2</w:t>
      </w:r>
      <w:r w:rsidRPr="005F6787">
        <w:rPr>
          <w:szCs w:val="21"/>
        </w:rPr>
        <w:t>条</w:t>
      </w:r>
      <w:r w:rsidRPr="005F6787">
        <w:rPr>
          <w:szCs w:val="21"/>
        </w:rPr>
        <w:t>1</w:t>
      </w:r>
      <w:r w:rsidRPr="005F6787">
        <w:rPr>
          <w:szCs w:val="21"/>
        </w:rPr>
        <w:t>項は、私的自治を、『法的生活における各人の自己決定』として保障する」。</w:t>
      </w:r>
    </w:p>
    <w:p w14:paraId="59F8DD86" w14:textId="77777777" w:rsidR="002972CB" w:rsidRPr="005F6787" w:rsidRDefault="002972CB" w:rsidP="002711B8">
      <w:pPr>
        <w:ind w:firstLineChars="100" w:firstLine="210"/>
        <w:jc w:val="left"/>
        <w:rPr>
          <w:szCs w:val="21"/>
        </w:rPr>
      </w:pPr>
      <w:r w:rsidRPr="005F6787">
        <w:rPr>
          <w:szCs w:val="21"/>
        </w:rPr>
        <w:t>「契約法においては、利益の相当な調整は契約当事者の合致した意思によって達成される。両当事者は、相互に拘束し、それと同時に各自の個人的行為自由を行使する。当事者の片方が契約内容を事実上、一方的に決定できるほどに強い立場にあるなら、それは、もう一方の当事者にとっては</w:t>
      </w:r>
      <w:r w:rsidRPr="005F6787">
        <w:rPr>
          <w:szCs w:val="21"/>
          <w:u w:val="single"/>
        </w:rPr>
        <w:t>他者決定</w:t>
      </w:r>
      <w:r w:rsidRPr="005F6787">
        <w:rPr>
          <w:szCs w:val="21"/>
        </w:rPr>
        <w:t>となる」。</w:t>
      </w:r>
    </w:p>
    <w:p w14:paraId="3B575497" w14:textId="77777777" w:rsidR="002972CB" w:rsidRPr="005F6787" w:rsidRDefault="002972CB" w:rsidP="002711B8">
      <w:pPr>
        <w:ind w:firstLineChars="100" w:firstLine="210"/>
        <w:rPr>
          <w:szCs w:val="21"/>
        </w:rPr>
      </w:pPr>
      <w:r w:rsidRPr="005F6787">
        <w:rPr>
          <w:szCs w:val="21"/>
        </w:rPr>
        <w:t>「契約当事者の一方の構造的劣位が認識でき、契約の帰結が劣位にある者に通常ではない負担を課すような類型の事案においては、私法秩序は、これに対処し、修正を可能ならしめなければならない。この要請は、私的自治の基本権的保障と、社会国家原理から生じる」。</w:t>
      </w:r>
    </w:p>
    <w:p w14:paraId="205508D0" w14:textId="77777777" w:rsidR="002972CB" w:rsidRPr="005F6787" w:rsidRDefault="002972CB" w:rsidP="002711B8">
      <w:pPr>
        <w:ind w:firstLineChars="100" w:firstLine="210"/>
        <w:rPr>
          <w:szCs w:val="21"/>
        </w:rPr>
      </w:pPr>
    </w:p>
    <w:p w14:paraId="793FD2E0" w14:textId="77777777" w:rsidR="002972CB" w:rsidRPr="005F6787" w:rsidRDefault="00601896" w:rsidP="004F26F1">
      <w:pPr>
        <w:pStyle w:val="2"/>
        <w:rPr>
          <w:rFonts w:asciiTheme="minorHAnsi" w:eastAsiaTheme="minorEastAsia" w:hAnsiTheme="minorHAnsi"/>
          <w:b/>
          <w:szCs w:val="21"/>
        </w:rPr>
      </w:pPr>
      <w:r w:rsidRPr="005F6787">
        <w:rPr>
          <w:rFonts w:asciiTheme="minorHAnsi" w:eastAsiaTheme="minorEastAsia" w:hAnsiTheme="minorHAnsi"/>
          <w:b/>
          <w:szCs w:val="21"/>
        </w:rPr>
        <w:t>(2</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自己決定と憲法</w:t>
      </w:r>
    </w:p>
    <w:p w14:paraId="2089C7E0" w14:textId="77777777" w:rsidR="002972CB" w:rsidRPr="005F6787" w:rsidRDefault="00BE42E9" w:rsidP="002711B8">
      <w:pPr>
        <w:ind w:firstLineChars="100" w:firstLine="210"/>
        <w:jc w:val="left"/>
        <w:rPr>
          <w:szCs w:val="21"/>
        </w:rPr>
      </w:pPr>
      <w:r w:rsidRPr="005F6787">
        <w:rPr>
          <w:szCs w:val="21"/>
        </w:rPr>
        <w:t>ドイツ</w:t>
      </w:r>
      <w:r w:rsidR="002972CB" w:rsidRPr="005F6787">
        <w:rPr>
          <w:szCs w:val="21"/>
        </w:rPr>
        <w:t>基本法</w:t>
      </w:r>
      <w:r w:rsidR="002972CB" w:rsidRPr="005F6787">
        <w:rPr>
          <w:szCs w:val="21"/>
        </w:rPr>
        <w:t>2</w:t>
      </w:r>
      <w:r w:rsidR="002972CB" w:rsidRPr="005F6787">
        <w:rPr>
          <w:szCs w:val="21"/>
        </w:rPr>
        <w:t>条</w:t>
      </w:r>
      <w:r w:rsidR="002972CB" w:rsidRPr="005F6787">
        <w:rPr>
          <w:szCs w:val="21"/>
        </w:rPr>
        <w:t>1</w:t>
      </w:r>
      <w:r w:rsidR="002972CB" w:rsidRPr="005F6787">
        <w:rPr>
          <w:szCs w:val="21"/>
        </w:rPr>
        <w:t>項における「自己の人格を自由に発展させる権利」は、「一般的な人間の行動の自由」という包括的な意味を持つ基本権とされる（「一般的行為自由」とも呼ばれる）。</w:t>
      </w:r>
    </w:p>
    <w:p w14:paraId="60C59073" w14:textId="77777777" w:rsidR="002972CB" w:rsidRPr="005F6787" w:rsidRDefault="002972CB" w:rsidP="002711B8">
      <w:pPr>
        <w:ind w:firstLineChars="100" w:firstLine="210"/>
        <w:rPr>
          <w:szCs w:val="21"/>
        </w:rPr>
      </w:pPr>
      <w:r w:rsidRPr="005F6787">
        <w:rPr>
          <w:szCs w:val="21"/>
        </w:rPr>
        <w:t>自己決定という概念</w:t>
      </w:r>
      <w:r w:rsidR="00601896" w:rsidRPr="005F6787">
        <w:rPr>
          <w:szCs w:val="21"/>
        </w:rPr>
        <w:t>について</w:t>
      </w:r>
      <w:r w:rsidRPr="005F6787">
        <w:rPr>
          <w:szCs w:val="21"/>
        </w:rPr>
        <w:t>は、日本の憲法学・私法学においても多くの議論があり</w:t>
      </w:r>
      <w:r w:rsidRPr="005F6787">
        <w:rPr>
          <w:rStyle w:val="ad"/>
          <w:szCs w:val="21"/>
        </w:rPr>
        <w:footnoteReference w:id="26"/>
      </w:r>
      <w:r w:rsidRPr="005F6787">
        <w:rPr>
          <w:szCs w:val="21"/>
        </w:rPr>
        <w:t>、憲法</w:t>
      </w:r>
      <w:r w:rsidRPr="005F6787">
        <w:rPr>
          <w:szCs w:val="21"/>
        </w:rPr>
        <w:t>13</w:t>
      </w:r>
      <w:r w:rsidRPr="005F6787">
        <w:rPr>
          <w:szCs w:val="21"/>
        </w:rPr>
        <w:t>条の幸福追求権が包括的基本権とされるが、</w:t>
      </w:r>
      <w:r w:rsidR="00601896" w:rsidRPr="005F6787">
        <w:rPr>
          <w:szCs w:val="21"/>
        </w:rPr>
        <w:t>それらにおいて</w:t>
      </w:r>
      <w:r w:rsidRPr="005F6787">
        <w:rPr>
          <w:szCs w:val="21"/>
        </w:rPr>
        <w:t>自己決定権として具体的に取り上げられてきたのは、私的な生活領域における自由</w:t>
      </w:r>
      <w:r w:rsidR="00A36919" w:rsidRPr="005F6787">
        <w:rPr>
          <w:szCs w:val="21"/>
        </w:rPr>
        <w:t>、例えば尊厳死、治療、髪形・服装の自由など</w:t>
      </w:r>
      <w:r w:rsidRPr="005F6787">
        <w:rPr>
          <w:szCs w:val="21"/>
        </w:rPr>
        <w:t>が多い（</w:t>
      </w:r>
      <w:r w:rsidR="00601896" w:rsidRPr="005F6787">
        <w:rPr>
          <w:szCs w:val="21"/>
        </w:rPr>
        <w:t>もっとも</w:t>
      </w:r>
      <w:r w:rsidRPr="005F6787">
        <w:rPr>
          <w:szCs w:val="21"/>
        </w:rPr>
        <w:t>議論は</w:t>
      </w:r>
      <w:r w:rsidR="00601896" w:rsidRPr="005F6787">
        <w:rPr>
          <w:szCs w:val="21"/>
        </w:rPr>
        <w:t>多様に</w:t>
      </w:r>
      <w:r w:rsidRPr="005F6787">
        <w:rPr>
          <w:szCs w:val="21"/>
        </w:rPr>
        <w:t>錯綜している）。</w:t>
      </w:r>
    </w:p>
    <w:p w14:paraId="16436ED6" w14:textId="77777777" w:rsidR="002972CB" w:rsidRPr="005F6787" w:rsidRDefault="00A36919" w:rsidP="002711B8">
      <w:pPr>
        <w:ind w:firstLineChars="100" w:firstLine="210"/>
        <w:rPr>
          <w:szCs w:val="21"/>
        </w:rPr>
      </w:pPr>
      <w:r w:rsidRPr="005F6787">
        <w:rPr>
          <w:szCs w:val="21"/>
        </w:rPr>
        <w:t>これに対し</w:t>
      </w:r>
      <w:r w:rsidR="00BE42E9" w:rsidRPr="005F6787">
        <w:rPr>
          <w:szCs w:val="21"/>
        </w:rPr>
        <w:t>、前</w:t>
      </w:r>
      <w:r w:rsidR="002972CB" w:rsidRPr="005F6787">
        <w:rPr>
          <w:szCs w:val="21"/>
        </w:rPr>
        <w:t>記</w:t>
      </w:r>
      <w:r w:rsidR="00BE42E9" w:rsidRPr="005F6787">
        <w:rPr>
          <w:szCs w:val="21"/>
        </w:rPr>
        <w:t>「連帯保証決定」</w:t>
      </w:r>
      <w:r w:rsidR="002972CB" w:rsidRPr="005F6787">
        <w:rPr>
          <w:szCs w:val="21"/>
        </w:rPr>
        <w:t>に見られるような私的自治と自己決定を結びつける議論は、日本では、山本敬三</w:t>
      </w:r>
      <w:r w:rsidR="002972CB" w:rsidRPr="005F6787">
        <w:rPr>
          <w:szCs w:val="21"/>
        </w:rPr>
        <w:t>[2000]</w:t>
      </w:r>
      <w:r w:rsidR="002972CB" w:rsidRPr="005F6787">
        <w:rPr>
          <w:szCs w:val="21"/>
        </w:rPr>
        <w:t>などが採用する立場であるが、民法学では例外的であり、また、「他者決定」という用語は、日本の憲法学・民法学のいずれにおいても、ほとんど使われていない。</w:t>
      </w:r>
    </w:p>
    <w:p w14:paraId="33FFC02A" w14:textId="77777777" w:rsidR="002972CB" w:rsidRPr="005F6787" w:rsidRDefault="002972CB" w:rsidP="00B23C52">
      <w:pPr>
        <w:ind w:firstLineChars="100" w:firstLine="210"/>
        <w:rPr>
          <w:szCs w:val="21"/>
        </w:rPr>
      </w:pPr>
      <w:r w:rsidRPr="005F6787">
        <w:rPr>
          <w:szCs w:val="21"/>
        </w:rPr>
        <w:t>もちろん「自己決定権の限界」を論じるということは、その限界を超えると「他者決定」になるということであるが、ドイツの判例・学説のように、私人間の関係について、「他者決定」の側から見ているという視点も重要である。例えば、「自己決定は明らかに他者決定の反対概念であり、外部から来る制限や拘束からの解放をめざしている」、と説かれる</w:t>
      </w:r>
      <w:r w:rsidRPr="005F6787">
        <w:rPr>
          <w:rStyle w:val="ad"/>
          <w:szCs w:val="21"/>
        </w:rPr>
        <w:footnoteReference w:id="27"/>
      </w:r>
      <w:r w:rsidRPr="005F6787">
        <w:rPr>
          <w:szCs w:val="21"/>
        </w:rPr>
        <w:t>。</w:t>
      </w:r>
    </w:p>
    <w:p w14:paraId="757BDC7A" w14:textId="77777777" w:rsidR="002972CB" w:rsidRPr="005F6787" w:rsidRDefault="002972CB" w:rsidP="00B23C52">
      <w:pPr>
        <w:ind w:firstLineChars="100" w:firstLine="210"/>
        <w:rPr>
          <w:szCs w:val="21"/>
        </w:rPr>
      </w:pPr>
      <w:r w:rsidRPr="005F6787">
        <w:rPr>
          <w:szCs w:val="21"/>
        </w:rPr>
        <w:t>これは、各法領域（特に、民法</w:t>
      </w:r>
      <w:r w:rsidR="00D20051" w:rsidRPr="005F6787">
        <w:rPr>
          <w:szCs w:val="21"/>
        </w:rPr>
        <w:t>や競争法</w:t>
      </w:r>
      <w:r w:rsidRPr="005F6787">
        <w:rPr>
          <w:szCs w:val="21"/>
        </w:rPr>
        <w:t>の規律を受ける私人間の関係）において、他者による自己決定権を侵害する行為の法的意味を、基本権侵害の有無として検討するということである。</w:t>
      </w:r>
    </w:p>
    <w:p w14:paraId="2BC630A1" w14:textId="77777777" w:rsidR="002972CB" w:rsidRPr="005F6787" w:rsidRDefault="002972CB" w:rsidP="00686149">
      <w:pPr>
        <w:ind w:firstLineChars="100" w:firstLine="210"/>
        <w:jc w:val="left"/>
        <w:rPr>
          <w:szCs w:val="21"/>
        </w:rPr>
      </w:pPr>
      <w:r w:rsidRPr="005F6787">
        <w:rPr>
          <w:szCs w:val="21"/>
        </w:rPr>
        <w:lastRenderedPageBreak/>
        <w:t>濫用規制については、</w:t>
      </w:r>
      <w:r w:rsidR="00A36919" w:rsidRPr="005F6787">
        <w:rPr>
          <w:szCs w:val="21"/>
        </w:rPr>
        <w:t>例えば次のように説かれる。</w:t>
      </w:r>
      <w:r w:rsidRPr="005F6787">
        <w:rPr>
          <w:szCs w:val="21"/>
        </w:rPr>
        <w:t>「具体的な適用場面において、国家と市民という両極間の紛争ではなく、三極関係の中での国家による、</w:t>
      </w:r>
      <w:r w:rsidRPr="005F6787">
        <w:rPr>
          <w:szCs w:val="21"/>
          <w:u w:val="single"/>
        </w:rPr>
        <w:t>他者決定からの自由</w:t>
      </w:r>
      <w:r w:rsidRPr="005F6787">
        <w:rPr>
          <w:szCs w:val="21"/>
        </w:rPr>
        <w:t>に向けられた包括的な秩序の枠組み（</w:t>
      </w:r>
      <w:r w:rsidRPr="005F6787">
        <w:rPr>
          <w:szCs w:val="21"/>
        </w:rPr>
        <w:t>Ordnungsrahmen</w:t>
      </w:r>
      <w:r w:rsidRPr="005F6787">
        <w:rPr>
          <w:szCs w:val="21"/>
        </w:rPr>
        <w:t>）の規律に従った、市民間の紛争の秩序化として捉えられるのであって、そうでなければ、比例原則（</w:t>
      </w:r>
      <w:r w:rsidRPr="005F6787">
        <w:rPr>
          <w:szCs w:val="21"/>
        </w:rPr>
        <w:t>Verh</w:t>
      </w:r>
      <w:hyperlink r:id="rId10" w:anchor="#" w:history="1">
        <w:r w:rsidRPr="005F6787">
          <w:rPr>
            <w:rStyle w:val="a3"/>
            <w:color w:val="auto"/>
            <w:szCs w:val="21"/>
          </w:rPr>
          <w:t>ä</w:t>
        </w:r>
      </w:hyperlink>
      <w:r w:rsidRPr="005F6787">
        <w:rPr>
          <w:szCs w:val="21"/>
        </w:rPr>
        <w:t>ltnism</w:t>
      </w:r>
      <w:hyperlink r:id="rId11" w:anchor="#" w:history="1">
        <w:r w:rsidRPr="005F6787">
          <w:rPr>
            <w:rStyle w:val="a3"/>
            <w:color w:val="auto"/>
            <w:szCs w:val="21"/>
          </w:rPr>
          <w:t>ä</w:t>
        </w:r>
      </w:hyperlink>
      <w:r w:rsidRPr="005F6787">
        <w:rPr>
          <w:szCs w:val="21"/>
        </w:rPr>
        <w:t>gigkeitsgrundsatzes</w:t>
      </w:r>
      <w:r w:rsidRPr="005F6787">
        <w:rPr>
          <w:szCs w:val="21"/>
        </w:rPr>
        <w:t>）を逆に見ることになる」</w:t>
      </w:r>
      <w:r w:rsidRPr="005F6787">
        <w:rPr>
          <w:rStyle w:val="ad"/>
          <w:szCs w:val="21"/>
        </w:rPr>
        <w:footnoteReference w:id="28"/>
      </w:r>
      <w:r w:rsidRPr="005F6787">
        <w:rPr>
          <w:szCs w:val="21"/>
        </w:rPr>
        <w:t>。</w:t>
      </w:r>
    </w:p>
    <w:p w14:paraId="6D445126" w14:textId="77777777" w:rsidR="002972CB" w:rsidRPr="005F6787" w:rsidRDefault="002972CB" w:rsidP="007C0577">
      <w:pPr>
        <w:ind w:firstLineChars="100" w:firstLine="210"/>
        <w:jc w:val="left"/>
        <w:rPr>
          <w:szCs w:val="21"/>
        </w:rPr>
      </w:pPr>
      <w:r w:rsidRPr="005F6787">
        <w:rPr>
          <w:szCs w:val="21"/>
        </w:rPr>
        <w:t>濫用規制に限らず、</w:t>
      </w:r>
      <w:r w:rsidR="00910095" w:rsidRPr="005F6787">
        <w:rPr>
          <w:szCs w:val="21"/>
        </w:rPr>
        <w:t>競争制限禁止法</w:t>
      </w:r>
      <w:r w:rsidRPr="005F6787">
        <w:rPr>
          <w:szCs w:val="21"/>
        </w:rPr>
        <w:t>違反の行為に対し、基本権侵害を理由に公的規制を加える際には、過剰介入の禁止に反しないかどうかが重要であるが</w:t>
      </w:r>
      <w:r w:rsidRPr="005F6787">
        <w:rPr>
          <w:rStyle w:val="ad"/>
          <w:szCs w:val="21"/>
        </w:rPr>
        <w:footnoteReference w:id="29"/>
      </w:r>
      <w:r w:rsidRPr="005F6787">
        <w:rPr>
          <w:szCs w:val="21"/>
        </w:rPr>
        <w:t>、その衡量基準として、比例原則が挙げられる。比例原則は、通常、第一に、ある手段の目的に対する「適合性」審査、第二に、手段の「必要性」審査、第三に、手段が関与する利益の「狭義の比例性」審査から成っている、と解されている</w:t>
      </w:r>
      <w:r w:rsidRPr="005F6787">
        <w:rPr>
          <w:rStyle w:val="ad"/>
          <w:szCs w:val="21"/>
        </w:rPr>
        <w:footnoteReference w:id="30"/>
      </w:r>
      <w:r w:rsidRPr="005F6787">
        <w:rPr>
          <w:szCs w:val="21"/>
        </w:rPr>
        <w:t>。</w:t>
      </w:r>
    </w:p>
    <w:p w14:paraId="70EA15A3" w14:textId="77777777" w:rsidR="002972CB" w:rsidRPr="005F6787" w:rsidRDefault="002972CB" w:rsidP="007C0577">
      <w:pPr>
        <w:ind w:firstLineChars="100" w:firstLine="210"/>
        <w:jc w:val="left"/>
        <w:rPr>
          <w:szCs w:val="21"/>
        </w:rPr>
      </w:pPr>
      <w:r w:rsidRPr="005F6787">
        <w:rPr>
          <w:szCs w:val="21"/>
        </w:rPr>
        <w:t>上の引用文における、「比例原則を逆に見ることになる」とは、憲法の名宛人が国家である場合には、公的規制について、当該基本権侵害を捉えるという目的と、それを是正する手段との関係だけをみればいいが、当該基本権侵害を受けた被害者との三極関係として見るとすれば、過剰介入の禁止に反しないかどうかという観点だけでなく、過小介入によって被害者を放置することにならないかという観点が重要になるので、逆になる可能性があるということであろう。</w:t>
      </w:r>
    </w:p>
    <w:p w14:paraId="5F4D11B6" w14:textId="77777777" w:rsidR="002972CB" w:rsidRPr="005F6787" w:rsidRDefault="002972CB" w:rsidP="00F077AD">
      <w:pPr>
        <w:ind w:firstLineChars="100" w:firstLine="210"/>
        <w:jc w:val="left"/>
        <w:rPr>
          <w:szCs w:val="21"/>
        </w:rPr>
      </w:pPr>
      <w:r w:rsidRPr="005F6787">
        <w:rPr>
          <w:szCs w:val="21"/>
        </w:rPr>
        <w:t>濫用規制が、行為者と被行</w:t>
      </w:r>
      <w:r w:rsidR="00A36919" w:rsidRPr="005F6787">
        <w:rPr>
          <w:szCs w:val="21"/>
        </w:rPr>
        <w:t>為に国家が介入する三極関係として見るとすれば、国家対私人という二</w:t>
      </w:r>
      <w:r w:rsidRPr="005F6787">
        <w:rPr>
          <w:szCs w:val="21"/>
        </w:rPr>
        <w:t>極間の関係とは異なる考慮が要請される。具体的な解釈に際して、憲法の名宛人が国家である場合と、私人間の関係に適用する場合では、具体的な基本権適用の仕方が大きく異なる。私人間では、相手方もまた人権享有主体としてあらわれ、相手方の経済的自由または私的自治などが対立価値として持ち出され（＝基本権の「相対化」）、比例原則の適用において、人権価値と対立価値の比較衡量が必要になる</w:t>
      </w:r>
      <w:r w:rsidRPr="005F6787">
        <w:rPr>
          <w:rStyle w:val="ad"/>
          <w:szCs w:val="21"/>
        </w:rPr>
        <w:footnoteReference w:id="31"/>
      </w:r>
      <w:r w:rsidR="00D23D42" w:rsidRPr="005F6787">
        <w:rPr>
          <w:szCs w:val="21"/>
        </w:rPr>
        <w:t>。</w:t>
      </w:r>
      <w:r w:rsidRPr="005F6787">
        <w:rPr>
          <w:szCs w:val="21"/>
        </w:rPr>
        <w:t>その実際の適用の仕方等について、今後、検討がなされるべきものと思われる。</w:t>
      </w:r>
    </w:p>
    <w:p w14:paraId="2AAD6AEE" w14:textId="77777777" w:rsidR="002972CB" w:rsidRPr="005F6787" w:rsidRDefault="002972CB" w:rsidP="002711B8">
      <w:pPr>
        <w:ind w:firstLineChars="100" w:firstLine="210"/>
        <w:rPr>
          <w:szCs w:val="21"/>
        </w:rPr>
      </w:pPr>
    </w:p>
    <w:p w14:paraId="59EBF0F2" w14:textId="77777777" w:rsidR="002972CB" w:rsidRPr="005F6787" w:rsidRDefault="00601896" w:rsidP="00F077AD">
      <w:pPr>
        <w:pStyle w:val="2"/>
        <w:rPr>
          <w:rFonts w:asciiTheme="minorHAnsi" w:eastAsiaTheme="minorEastAsia" w:hAnsiTheme="minorHAnsi"/>
          <w:b/>
          <w:szCs w:val="21"/>
        </w:rPr>
      </w:pPr>
      <w:r w:rsidRPr="005F6787">
        <w:rPr>
          <w:rFonts w:asciiTheme="minorHAnsi" w:eastAsiaTheme="minorEastAsia" w:hAnsiTheme="minorHAnsi"/>
          <w:b/>
          <w:szCs w:val="21"/>
        </w:rPr>
        <w:t>(3</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自己決定と民法</w:t>
      </w:r>
      <w:r w:rsidR="002972CB" w:rsidRPr="005F6787">
        <w:rPr>
          <w:rFonts w:asciiTheme="minorHAnsi" w:eastAsiaTheme="minorEastAsia" w:hAnsiTheme="minorHAnsi"/>
          <w:b/>
          <w:szCs w:val="21"/>
        </w:rPr>
        <w:t>----</w:t>
      </w:r>
      <w:r w:rsidR="002972CB" w:rsidRPr="005F6787">
        <w:rPr>
          <w:rFonts w:asciiTheme="minorHAnsi" w:eastAsiaTheme="minorEastAsia" w:hAnsiTheme="minorHAnsi"/>
          <w:b/>
          <w:szCs w:val="21"/>
        </w:rPr>
        <w:t>約款規制</w:t>
      </w:r>
    </w:p>
    <w:p w14:paraId="4B874E81" w14:textId="77777777" w:rsidR="002972CB" w:rsidRPr="005F6787" w:rsidRDefault="002972CB" w:rsidP="002711B8">
      <w:pPr>
        <w:ind w:firstLineChars="100" w:firstLine="210"/>
        <w:rPr>
          <w:szCs w:val="21"/>
        </w:rPr>
      </w:pPr>
      <w:r w:rsidRPr="005F6787">
        <w:rPr>
          <w:szCs w:val="21"/>
        </w:rPr>
        <w:t>ドイツでは、上の連帯保証決定のように</w:t>
      </w:r>
      <w:r w:rsidR="00760791" w:rsidRPr="005F6787">
        <w:rPr>
          <w:szCs w:val="21"/>
        </w:rPr>
        <w:t>、憲法（特に基本権規定）を根拠に、</w:t>
      </w:r>
      <w:r w:rsidRPr="005F6787">
        <w:rPr>
          <w:szCs w:val="21"/>
        </w:rPr>
        <w:t>民法上の契約に</w:t>
      </w:r>
      <w:r w:rsidR="00760791" w:rsidRPr="005F6787">
        <w:rPr>
          <w:szCs w:val="21"/>
        </w:rPr>
        <w:t>積極的に</w:t>
      </w:r>
      <w:r w:rsidRPr="005F6787">
        <w:rPr>
          <w:szCs w:val="21"/>
        </w:rPr>
        <w:t>介入することがあ</w:t>
      </w:r>
      <w:r w:rsidR="008872F5" w:rsidRPr="005F6787">
        <w:rPr>
          <w:szCs w:val="21"/>
        </w:rPr>
        <w:t>り、これは私法における基本権の影響力が強くなっていくという</w:t>
      </w:r>
      <w:r w:rsidRPr="005F6787">
        <w:rPr>
          <w:szCs w:val="21"/>
        </w:rPr>
        <w:t>意味で、「私法の憲法化」とも呼ばれ、これを警戒する説もあるが、大勢としては判例を支持する学説が多いといえよう</w:t>
      </w:r>
      <w:r w:rsidRPr="005F6787">
        <w:rPr>
          <w:rStyle w:val="ad"/>
          <w:szCs w:val="21"/>
        </w:rPr>
        <w:footnoteReference w:id="32"/>
      </w:r>
      <w:r w:rsidRPr="005F6787">
        <w:rPr>
          <w:szCs w:val="21"/>
        </w:rPr>
        <w:t>。</w:t>
      </w:r>
    </w:p>
    <w:p w14:paraId="20DB757E" w14:textId="77777777" w:rsidR="00A148DE" w:rsidRPr="005F6787" w:rsidRDefault="002972CB" w:rsidP="00EC530D">
      <w:pPr>
        <w:ind w:firstLineChars="100" w:firstLine="210"/>
        <w:rPr>
          <w:szCs w:val="21"/>
        </w:rPr>
      </w:pPr>
      <w:r w:rsidRPr="005F6787">
        <w:rPr>
          <w:szCs w:val="21"/>
        </w:rPr>
        <w:lastRenderedPageBreak/>
        <w:t>FB</w:t>
      </w:r>
      <w:r w:rsidRPr="005F6787">
        <w:rPr>
          <w:szCs w:val="21"/>
        </w:rPr>
        <w:t>など</w:t>
      </w:r>
      <w:r w:rsidRPr="005F6787">
        <w:rPr>
          <w:szCs w:val="21"/>
        </w:rPr>
        <w:t>GAFA</w:t>
      </w:r>
      <w:r w:rsidRPr="005F6787">
        <w:rPr>
          <w:szCs w:val="21"/>
        </w:rPr>
        <w:t>に係る消費者取引</w:t>
      </w:r>
      <w:r w:rsidR="006262A1" w:rsidRPr="005F6787">
        <w:rPr>
          <w:szCs w:val="21"/>
        </w:rPr>
        <w:t>及び</w:t>
      </w:r>
      <w:r w:rsidRPr="005F6787">
        <w:rPr>
          <w:szCs w:val="21"/>
        </w:rPr>
        <w:t>事業者間の取引の大部分</w:t>
      </w:r>
      <w:r w:rsidR="00D23D42" w:rsidRPr="005F6787">
        <w:rPr>
          <w:szCs w:val="21"/>
        </w:rPr>
        <w:t>において</w:t>
      </w:r>
      <w:r w:rsidRPr="005F6787">
        <w:rPr>
          <w:szCs w:val="21"/>
        </w:rPr>
        <w:t>は、普通取引約款としての性格を有している</w:t>
      </w:r>
      <w:r w:rsidR="00D23D42" w:rsidRPr="005F6787">
        <w:rPr>
          <w:szCs w:val="21"/>
        </w:rPr>
        <w:t>取引条件が極めて詳細に定められている</w:t>
      </w:r>
      <w:r w:rsidRPr="005F6787">
        <w:rPr>
          <w:szCs w:val="21"/>
        </w:rPr>
        <w:t>。ドイツでは、</w:t>
      </w:r>
      <w:r w:rsidR="00A148DE" w:rsidRPr="005F6787">
        <w:rPr>
          <w:szCs w:val="21"/>
        </w:rPr>
        <w:t>以前から</w:t>
      </w:r>
      <w:r w:rsidRPr="005F6787">
        <w:rPr>
          <w:szCs w:val="21"/>
        </w:rPr>
        <w:t>特に本件のような大企業と消費者の間に結ばれる普通取引約款に対して厳しい見方がとられ、</w:t>
      </w:r>
      <w:r w:rsidR="00D23D42" w:rsidRPr="005F6787">
        <w:rPr>
          <w:szCs w:val="21"/>
        </w:rPr>
        <w:t>特に</w:t>
      </w:r>
      <w:r w:rsidRPr="005F6787">
        <w:rPr>
          <w:szCs w:val="21"/>
        </w:rPr>
        <w:t>約款規制法</w:t>
      </w:r>
      <w:r w:rsidRPr="005F6787">
        <w:rPr>
          <w:szCs w:val="21"/>
        </w:rPr>
        <w:t>(1976</w:t>
      </w:r>
      <w:r w:rsidRPr="005F6787">
        <w:rPr>
          <w:szCs w:val="21"/>
        </w:rPr>
        <w:t>年</w:t>
      </w:r>
      <w:r w:rsidRPr="005F6787">
        <w:rPr>
          <w:szCs w:val="21"/>
        </w:rPr>
        <w:t>)</w:t>
      </w:r>
      <w:r w:rsidRPr="005F6787">
        <w:rPr>
          <w:szCs w:val="21"/>
        </w:rPr>
        <w:t>の下で厳しい規制が行われるようになり、それ</w:t>
      </w:r>
      <w:r w:rsidR="007156D6" w:rsidRPr="005F6787">
        <w:rPr>
          <w:szCs w:val="21"/>
        </w:rPr>
        <w:t>ら</w:t>
      </w:r>
      <w:r w:rsidRPr="005F6787">
        <w:rPr>
          <w:szCs w:val="21"/>
        </w:rPr>
        <w:t>は現在の</w:t>
      </w:r>
      <w:r w:rsidR="00D23D42" w:rsidRPr="005F6787">
        <w:rPr>
          <w:szCs w:val="21"/>
        </w:rPr>
        <w:t>BGB(</w:t>
      </w:r>
      <w:r w:rsidRPr="005F6787">
        <w:rPr>
          <w:szCs w:val="21"/>
        </w:rPr>
        <w:t>民法</w:t>
      </w:r>
      <w:r w:rsidR="00D23D42" w:rsidRPr="005F6787">
        <w:rPr>
          <w:szCs w:val="21"/>
        </w:rPr>
        <w:t>)</w:t>
      </w:r>
      <w:r w:rsidRPr="005F6787">
        <w:rPr>
          <w:szCs w:val="21"/>
        </w:rPr>
        <w:t>307</w:t>
      </w:r>
      <w:r w:rsidRPr="005F6787">
        <w:rPr>
          <w:szCs w:val="21"/>
        </w:rPr>
        <w:t>条以下に</w:t>
      </w:r>
      <w:r w:rsidR="00A148DE" w:rsidRPr="005F6787">
        <w:rPr>
          <w:szCs w:val="21"/>
        </w:rPr>
        <w:t>ほぼそのままの形で</w:t>
      </w:r>
      <w:r w:rsidRPr="005F6787">
        <w:rPr>
          <w:szCs w:val="21"/>
        </w:rPr>
        <w:t>吸収されている。</w:t>
      </w:r>
    </w:p>
    <w:p w14:paraId="1E373951" w14:textId="77777777" w:rsidR="002972CB" w:rsidRPr="005F6787" w:rsidRDefault="002972CB" w:rsidP="00EC530D">
      <w:pPr>
        <w:ind w:firstLineChars="100" w:firstLine="210"/>
        <w:rPr>
          <w:szCs w:val="21"/>
        </w:rPr>
      </w:pPr>
      <w:r w:rsidRPr="005F6787">
        <w:rPr>
          <w:szCs w:val="21"/>
        </w:rPr>
        <w:t>普通取引約款は、あらかじめ事業者が定めた定型的な契約条項であり、特に消費者にとってその内容を知り、十分理解することが困難であることから、その解釈にあたっては，当事者の利益</w:t>
      </w:r>
      <w:r w:rsidR="006262A1" w:rsidRPr="005F6787">
        <w:rPr>
          <w:szCs w:val="21"/>
        </w:rPr>
        <w:t>及び</w:t>
      </w:r>
      <w:r w:rsidRPr="005F6787">
        <w:rPr>
          <w:szCs w:val="21"/>
        </w:rPr>
        <w:t>顧客全体の利益を顧慮すべきは当然であるが，それにも増して，公共的利益を顧慮すべきであるとする要請は，個別契約の場合におけるよりも，いっそう強度であるべきであると説かれている</w:t>
      </w:r>
      <w:r w:rsidRPr="005F6787">
        <w:rPr>
          <w:rStyle w:val="ad"/>
          <w:szCs w:val="21"/>
        </w:rPr>
        <w:footnoteReference w:id="33"/>
      </w:r>
      <w:r w:rsidR="007156D6" w:rsidRPr="005F6787">
        <w:rPr>
          <w:szCs w:val="21"/>
        </w:rPr>
        <w:t>。</w:t>
      </w:r>
    </w:p>
    <w:p w14:paraId="479EAA66" w14:textId="77777777" w:rsidR="002972CB" w:rsidRPr="005F6787" w:rsidRDefault="00A148DE" w:rsidP="00EC530D">
      <w:pPr>
        <w:ind w:firstLineChars="100" w:firstLine="210"/>
        <w:rPr>
          <w:szCs w:val="21"/>
        </w:rPr>
      </w:pPr>
      <w:r w:rsidRPr="005F6787">
        <w:rPr>
          <w:szCs w:val="21"/>
        </w:rPr>
        <w:t>そこでは、「個人の消費者は、</w:t>
      </w:r>
      <w:r w:rsidR="002972CB" w:rsidRPr="005F6787">
        <w:rPr>
          <w:szCs w:val="21"/>
        </w:rPr>
        <w:t>自分で了解していないのに、企業が作った契約条件を承認したものとして扱われる。これこそ、今日の社会における組織の巨大化による自己決定の喪失にほかならない。約款の効力は、古典的な契約論の原則に照らして限定的に認められるべきである」</w:t>
      </w:r>
      <w:r w:rsidR="002972CB" w:rsidRPr="005F6787">
        <w:rPr>
          <w:rStyle w:val="ad"/>
          <w:szCs w:val="21"/>
        </w:rPr>
        <w:footnoteReference w:id="34"/>
      </w:r>
      <w:r w:rsidR="002972CB" w:rsidRPr="005F6787">
        <w:rPr>
          <w:szCs w:val="21"/>
        </w:rPr>
        <w:t>、という認識を出発点として、約款の効力を制限する方向がとられ、前述のような約款規制法とそれに基づく法運用が行われてきている。</w:t>
      </w:r>
    </w:p>
    <w:p w14:paraId="2CFBD9F5" w14:textId="77777777" w:rsidR="002972CB" w:rsidRPr="005F6787" w:rsidRDefault="002972CB" w:rsidP="002711B8">
      <w:pPr>
        <w:rPr>
          <w:szCs w:val="21"/>
        </w:rPr>
      </w:pPr>
      <w:r w:rsidRPr="005F6787">
        <w:rPr>
          <w:szCs w:val="21"/>
        </w:rPr>
        <w:t xml:space="preserve">　ドイツにおいては、上述のような憲法・民法上の動きと並行ないし連動して、</w:t>
      </w:r>
      <w:r w:rsidR="00910095" w:rsidRPr="005F6787">
        <w:rPr>
          <w:szCs w:val="21"/>
        </w:rPr>
        <w:t>競争制限禁止法</w:t>
      </w:r>
      <w:r w:rsidRPr="005F6787">
        <w:rPr>
          <w:szCs w:val="21"/>
        </w:rPr>
        <w:t>上も</w:t>
      </w:r>
      <w:r w:rsidR="00607F76" w:rsidRPr="005F6787">
        <w:rPr>
          <w:szCs w:val="21"/>
        </w:rPr>
        <w:t>約款に対し「条件濫用」として</w:t>
      </w:r>
      <w:r w:rsidRPr="005F6787">
        <w:rPr>
          <w:szCs w:val="21"/>
        </w:rPr>
        <w:t>規制が行われてきている</w:t>
      </w:r>
      <w:r w:rsidR="00760791" w:rsidRPr="005F6787">
        <w:rPr>
          <w:szCs w:val="21"/>
        </w:rPr>
        <w:t>の</w:t>
      </w:r>
      <w:r w:rsidR="00607F76" w:rsidRPr="005F6787">
        <w:rPr>
          <w:szCs w:val="21"/>
        </w:rPr>
        <w:t>である</w:t>
      </w:r>
      <w:r w:rsidRPr="005F6787">
        <w:rPr>
          <w:szCs w:val="21"/>
        </w:rPr>
        <w:t>。</w:t>
      </w:r>
    </w:p>
    <w:p w14:paraId="54E549BE" w14:textId="77777777" w:rsidR="00A148DE" w:rsidRPr="005F6787" w:rsidRDefault="00A148DE" w:rsidP="00A148DE">
      <w:pPr>
        <w:ind w:firstLineChars="100" w:firstLine="210"/>
        <w:rPr>
          <w:szCs w:val="21"/>
        </w:rPr>
      </w:pPr>
      <w:r w:rsidRPr="005F6787">
        <w:rPr>
          <w:szCs w:val="21"/>
        </w:rPr>
        <w:t>なお、日本においても、今次の民法改正において、多くの議論の末、一定の約款に関する規定が置かれることになったこと、しかし</w:t>
      </w:r>
      <w:r w:rsidRPr="005F6787">
        <w:rPr>
          <w:szCs w:val="21"/>
        </w:rPr>
        <w:t>BGB307</w:t>
      </w:r>
      <w:r w:rsidRPr="005F6787">
        <w:rPr>
          <w:szCs w:val="21"/>
        </w:rPr>
        <w:t>条のような内容規制は、産業界の反対等によって採用されなかったことは周知のとおりである（改正民法</w:t>
      </w:r>
      <w:r w:rsidRPr="005F6787">
        <w:rPr>
          <w:szCs w:val="21"/>
        </w:rPr>
        <w:t>548</w:t>
      </w:r>
      <w:r w:rsidRPr="005F6787">
        <w:rPr>
          <w:szCs w:val="21"/>
        </w:rPr>
        <w:t>条の</w:t>
      </w:r>
      <w:r w:rsidRPr="005F6787">
        <w:rPr>
          <w:szCs w:val="21"/>
        </w:rPr>
        <w:t>2</w:t>
      </w:r>
      <w:r w:rsidRPr="005F6787">
        <w:rPr>
          <w:szCs w:val="21"/>
        </w:rPr>
        <w:t>～</w:t>
      </w:r>
      <w:r w:rsidRPr="005F6787">
        <w:rPr>
          <w:szCs w:val="21"/>
        </w:rPr>
        <w:t>4</w:t>
      </w:r>
      <w:r w:rsidRPr="005F6787">
        <w:rPr>
          <w:szCs w:val="21"/>
        </w:rPr>
        <w:t>）。</w:t>
      </w:r>
    </w:p>
    <w:p w14:paraId="7B4AF1A2" w14:textId="77777777" w:rsidR="00607F76" w:rsidRPr="005F6787" w:rsidRDefault="00607F76" w:rsidP="002711B8">
      <w:pPr>
        <w:rPr>
          <w:szCs w:val="21"/>
        </w:rPr>
      </w:pPr>
    </w:p>
    <w:p w14:paraId="0524DE79" w14:textId="77777777" w:rsidR="002972CB" w:rsidRPr="005F6787" w:rsidRDefault="00070F7F" w:rsidP="00FF09D0">
      <w:pPr>
        <w:pStyle w:val="2"/>
        <w:rPr>
          <w:rFonts w:asciiTheme="minorHAnsi" w:eastAsiaTheme="minorEastAsia" w:hAnsiTheme="minorHAnsi"/>
          <w:b/>
          <w:szCs w:val="21"/>
        </w:rPr>
      </w:pPr>
      <w:r w:rsidRPr="005F6787">
        <w:rPr>
          <w:rFonts w:asciiTheme="minorHAnsi" w:eastAsiaTheme="minorEastAsia" w:hAnsiTheme="minorHAnsi"/>
          <w:b/>
          <w:szCs w:val="21"/>
        </w:rPr>
        <w:t>(4</w:t>
      </w:r>
      <w:r w:rsidR="002972CB" w:rsidRPr="005F6787">
        <w:rPr>
          <w:rFonts w:asciiTheme="minorHAnsi" w:eastAsiaTheme="minorEastAsia" w:hAnsiTheme="minorHAnsi"/>
          <w:b/>
          <w:szCs w:val="21"/>
        </w:rPr>
        <w:t xml:space="preserve">) </w:t>
      </w:r>
      <w:r w:rsidR="002972CB" w:rsidRPr="005F6787">
        <w:rPr>
          <w:rFonts w:asciiTheme="minorHAnsi" w:eastAsiaTheme="minorEastAsia" w:hAnsiTheme="minorHAnsi"/>
          <w:b/>
          <w:szCs w:val="21"/>
        </w:rPr>
        <w:t>契約の中心条項と付随的条項</w:t>
      </w:r>
    </w:p>
    <w:p w14:paraId="72777CEE" w14:textId="77777777" w:rsidR="002972CB" w:rsidRPr="005F6787" w:rsidRDefault="002972CB" w:rsidP="00FF09D0">
      <w:pPr>
        <w:ind w:firstLineChars="100" w:firstLine="210"/>
        <w:rPr>
          <w:szCs w:val="21"/>
        </w:rPr>
      </w:pPr>
      <w:r w:rsidRPr="005F6787">
        <w:rPr>
          <w:szCs w:val="21"/>
        </w:rPr>
        <w:t>GWB</w:t>
      </w:r>
      <w:r w:rsidRPr="005F6787">
        <w:rPr>
          <w:szCs w:val="21"/>
        </w:rPr>
        <w:t>における濫用規制の多くが、価格濫用よりも条件濫用についてのものであることについて、競争の機能という点から付言しておく。</w:t>
      </w:r>
      <w:r w:rsidR="00070F7F" w:rsidRPr="005F6787">
        <w:rPr>
          <w:szCs w:val="21"/>
        </w:rPr>
        <w:t>前記のように、</w:t>
      </w:r>
      <w:r w:rsidRPr="005F6787">
        <w:rPr>
          <w:szCs w:val="21"/>
        </w:rPr>
        <w:t>本決定で</w:t>
      </w:r>
      <w:r w:rsidR="00070F7F" w:rsidRPr="005F6787">
        <w:rPr>
          <w:szCs w:val="21"/>
        </w:rPr>
        <w:t>も違法とされたのは</w:t>
      </w:r>
      <w:r w:rsidRPr="005F6787">
        <w:rPr>
          <w:szCs w:val="21"/>
        </w:rPr>
        <w:t>、</w:t>
      </w:r>
      <w:r w:rsidRPr="005F6787">
        <w:rPr>
          <w:szCs w:val="21"/>
        </w:rPr>
        <w:t>FB</w:t>
      </w:r>
      <w:r w:rsidRPr="005F6787">
        <w:rPr>
          <w:szCs w:val="21"/>
        </w:rPr>
        <w:t>が個人ユーザーのデータを情報収集・蓄積・加工する根拠とな</w:t>
      </w:r>
      <w:r w:rsidR="00070F7F" w:rsidRPr="005F6787">
        <w:rPr>
          <w:szCs w:val="21"/>
        </w:rPr>
        <w:t>る、</w:t>
      </w:r>
      <w:r w:rsidRPr="005F6787">
        <w:rPr>
          <w:szCs w:val="21"/>
        </w:rPr>
        <w:t>当該取引に附随する</w:t>
      </w:r>
      <w:r w:rsidR="00070F7F" w:rsidRPr="005F6787">
        <w:rPr>
          <w:szCs w:val="21"/>
        </w:rPr>
        <w:t>取引</w:t>
      </w:r>
      <w:r w:rsidRPr="005F6787">
        <w:rPr>
          <w:szCs w:val="21"/>
        </w:rPr>
        <w:t>条件である。</w:t>
      </w:r>
    </w:p>
    <w:p w14:paraId="6D00A068" w14:textId="77777777" w:rsidR="002972CB" w:rsidRPr="005F6787" w:rsidRDefault="002972CB" w:rsidP="00FF09D0">
      <w:pPr>
        <w:ind w:firstLineChars="100" w:firstLine="210"/>
        <w:rPr>
          <w:szCs w:val="21"/>
        </w:rPr>
      </w:pPr>
      <w:r w:rsidRPr="005F6787">
        <w:rPr>
          <w:szCs w:val="21"/>
        </w:rPr>
        <w:t>私法上の契約の内容規制については、通常、契約の対象とその価格等に関する中心条項（＝契約の本体部分）と、付随的条項（独禁法上問題となる例として、拘束条件付取引、排他条件付取引、抱き合わせ販売等）を区別して考えられている</w:t>
      </w:r>
      <w:r w:rsidRPr="005F6787">
        <w:rPr>
          <w:rStyle w:val="ad"/>
          <w:szCs w:val="21"/>
        </w:rPr>
        <w:footnoteReference w:id="35"/>
      </w:r>
      <w:r w:rsidRPr="005F6787">
        <w:rPr>
          <w:szCs w:val="21"/>
        </w:rPr>
        <w:t>。</w:t>
      </w:r>
    </w:p>
    <w:p w14:paraId="4C16AFFD" w14:textId="77777777" w:rsidR="002972CB" w:rsidRPr="005F6787" w:rsidRDefault="002972CB" w:rsidP="00FF09D0">
      <w:pPr>
        <w:ind w:firstLineChars="100" w:firstLine="210"/>
        <w:rPr>
          <w:szCs w:val="21"/>
        </w:rPr>
      </w:pPr>
      <w:r w:rsidRPr="005F6787">
        <w:rPr>
          <w:szCs w:val="21"/>
        </w:rPr>
        <w:t>契約の本体部分については、契約締結時に当事者にもよく了解されていること、また、市場メカニズム（競争原理）が最もよく働く部分であるから、外からの介入を控え、市場</w:t>
      </w:r>
      <w:r w:rsidRPr="005F6787">
        <w:rPr>
          <w:szCs w:val="21"/>
        </w:rPr>
        <w:lastRenderedPageBreak/>
        <w:t>の決定に委ねるのが原則であると説かれる。</w:t>
      </w:r>
    </w:p>
    <w:p w14:paraId="1D6A60A4" w14:textId="4D5EA031" w:rsidR="002972CB" w:rsidRPr="005F6787" w:rsidRDefault="002972CB" w:rsidP="00FF09D0">
      <w:pPr>
        <w:ind w:firstLineChars="100" w:firstLine="210"/>
        <w:rPr>
          <w:szCs w:val="21"/>
        </w:rPr>
      </w:pPr>
      <w:r w:rsidRPr="005F6787">
        <w:rPr>
          <w:szCs w:val="21"/>
        </w:rPr>
        <w:t>もっとも、中心条項についても、民法上、暴利行為に対する規制があり</w:t>
      </w:r>
      <w:r w:rsidRPr="005F6787">
        <w:rPr>
          <w:rStyle w:val="ad"/>
          <w:szCs w:val="21"/>
        </w:rPr>
        <w:footnoteReference w:id="36"/>
      </w:r>
      <w:r w:rsidRPr="005F6787">
        <w:rPr>
          <w:szCs w:val="21"/>
        </w:rPr>
        <w:t>、また、独占禁止法上の実際の事件に見られるように、不当な取引拒絶や、価格についての濫用（不当廉売、不当高価格販売、不当低価格購入＝「買いたたき」等）もあり得るのであり、実際、ドイツ競争制限禁止法や</w:t>
      </w:r>
      <w:r w:rsidRPr="005F6787">
        <w:rPr>
          <w:szCs w:val="21"/>
        </w:rPr>
        <w:t>EU</w:t>
      </w:r>
      <w:r w:rsidRPr="005F6787">
        <w:rPr>
          <w:szCs w:val="21"/>
        </w:rPr>
        <w:t>競争法において、搾取</w:t>
      </w:r>
      <w:r w:rsidR="00967D5F" w:rsidRPr="005F6787">
        <w:rPr>
          <w:szCs w:val="21"/>
        </w:rPr>
        <w:t>的</w:t>
      </w:r>
      <w:r w:rsidRPr="005F6787">
        <w:rPr>
          <w:szCs w:val="21"/>
        </w:rPr>
        <w:t>濫用の典型例は不当高価格販売</w:t>
      </w:r>
      <w:r w:rsidR="00760791" w:rsidRPr="005F6787">
        <w:rPr>
          <w:szCs w:val="21"/>
        </w:rPr>
        <w:t>・不当低価格購買（＝価格濫用）</w:t>
      </w:r>
      <w:r w:rsidRPr="005F6787">
        <w:rPr>
          <w:szCs w:val="21"/>
        </w:rPr>
        <w:t>とされてきたことにも留意すべきである。</w:t>
      </w:r>
    </w:p>
    <w:p w14:paraId="150A445B" w14:textId="77777777" w:rsidR="002972CB" w:rsidRPr="005F6787" w:rsidRDefault="00760791" w:rsidP="00FF09D0">
      <w:pPr>
        <w:ind w:firstLineChars="100" w:firstLine="210"/>
        <w:rPr>
          <w:szCs w:val="21"/>
        </w:rPr>
      </w:pPr>
      <w:r w:rsidRPr="005F6787">
        <w:rPr>
          <w:szCs w:val="21"/>
        </w:rPr>
        <w:t>他方で、上</w:t>
      </w:r>
      <w:r w:rsidR="002972CB" w:rsidRPr="005F6787">
        <w:rPr>
          <w:szCs w:val="21"/>
        </w:rPr>
        <w:t>記の中心条項に比べると、付随的条項については、契約締結時に当事者にもよく了解されていない、あるいは一応は分かっていても、その実際的意味が軽視されがちであること、極めて個別的な条件になるので、他の供給者の取引条件との比較が困難であり、また、個々の付随的条項と契約の本体部分（特に価格）との均衡がとれているか分かり難く、市場の決定に委ねて済むとは到底いえない、という特殊性がある。</w:t>
      </w:r>
    </w:p>
    <w:p w14:paraId="45ED0331" w14:textId="77777777" w:rsidR="002972CB" w:rsidRPr="005F6787" w:rsidRDefault="002972CB" w:rsidP="002711B8">
      <w:pPr>
        <w:ind w:firstLineChars="100" w:firstLine="210"/>
        <w:jc w:val="left"/>
        <w:rPr>
          <w:szCs w:val="21"/>
        </w:rPr>
      </w:pPr>
    </w:p>
    <w:p w14:paraId="30A0481E" w14:textId="77777777" w:rsidR="002972CB" w:rsidRPr="005F6787" w:rsidRDefault="003D163C" w:rsidP="003D163C">
      <w:pPr>
        <w:pStyle w:val="2"/>
        <w:rPr>
          <w:rFonts w:asciiTheme="minorHAnsi" w:hAnsiTheme="minorHAnsi"/>
        </w:rPr>
      </w:pPr>
      <w:r w:rsidRPr="005F6787">
        <w:rPr>
          <w:rFonts w:asciiTheme="minorHAnsi" w:hAnsiTheme="minorHAnsi"/>
        </w:rPr>
        <w:t>4.</w:t>
      </w:r>
      <w:r w:rsidR="002972CB" w:rsidRPr="005F6787">
        <w:rPr>
          <w:rFonts w:asciiTheme="minorHAnsi" w:hAnsiTheme="minorHAnsi"/>
        </w:rPr>
        <w:t>「利益衡量」</w:t>
      </w:r>
    </w:p>
    <w:p w14:paraId="0FFB6E29" w14:textId="77777777" w:rsidR="002972CB" w:rsidRPr="005F6787" w:rsidRDefault="002972CB" w:rsidP="002711B8">
      <w:pPr>
        <w:ind w:firstLineChars="100" w:firstLine="210"/>
        <w:jc w:val="left"/>
        <w:rPr>
          <w:szCs w:val="21"/>
        </w:rPr>
      </w:pPr>
      <w:r w:rsidRPr="005F6787">
        <w:rPr>
          <w:szCs w:val="21"/>
        </w:rPr>
        <w:t>本決定において、前出の</w:t>
      </w:r>
      <w:r w:rsidRPr="005F6787">
        <w:rPr>
          <w:szCs w:val="21"/>
        </w:rPr>
        <w:t>Pechstein</w:t>
      </w:r>
      <w:r w:rsidRPr="005F6787">
        <w:rPr>
          <w:szCs w:val="21"/>
        </w:rPr>
        <w:t>判決から引かれている、「包括的な利益衡量」という概念は、競争制限禁止法</w:t>
      </w:r>
      <w:r w:rsidRPr="005F6787">
        <w:rPr>
          <w:szCs w:val="21"/>
        </w:rPr>
        <w:t>(GWB)</w:t>
      </w:r>
      <w:r w:rsidRPr="005F6787">
        <w:rPr>
          <w:szCs w:val="21"/>
        </w:rPr>
        <w:t>上の濫用の要件として判例・通説が挙げる</w:t>
      </w:r>
      <w:r w:rsidR="003D163C" w:rsidRPr="005F6787">
        <w:rPr>
          <w:szCs w:val="21"/>
        </w:rPr>
        <w:t>ものであるが、この「利益」には、契約当事者それぞれの基本権をも含まれてい</w:t>
      </w:r>
      <w:r w:rsidRPr="005F6787">
        <w:rPr>
          <w:szCs w:val="21"/>
        </w:rPr>
        <w:t>る。</w:t>
      </w:r>
    </w:p>
    <w:p w14:paraId="3BBDC468" w14:textId="77777777" w:rsidR="002972CB" w:rsidRPr="005F6787" w:rsidRDefault="002972CB" w:rsidP="002711B8">
      <w:pPr>
        <w:ind w:firstLineChars="100" w:firstLine="210"/>
        <w:rPr>
          <w:szCs w:val="21"/>
        </w:rPr>
      </w:pPr>
      <w:r w:rsidRPr="005F6787">
        <w:rPr>
          <w:szCs w:val="21"/>
        </w:rPr>
        <w:t>本決定によれば、</w:t>
      </w:r>
      <w:r w:rsidRPr="005F6787">
        <w:rPr>
          <w:szCs w:val="21"/>
        </w:rPr>
        <w:t>BGH</w:t>
      </w:r>
      <w:r w:rsidRPr="005F6787">
        <w:rPr>
          <w:szCs w:val="21"/>
        </w:rPr>
        <w:t>は，「</w:t>
      </w:r>
      <w:r w:rsidRPr="005F6787">
        <w:rPr>
          <w:szCs w:val="21"/>
        </w:rPr>
        <w:t>Pechstein</w:t>
      </w:r>
      <w:r w:rsidRPr="005F6787">
        <w:rPr>
          <w:szCs w:val="21"/>
        </w:rPr>
        <w:t>判決によって，</w:t>
      </w:r>
      <w:r w:rsidRPr="005F6787">
        <w:rPr>
          <w:szCs w:val="21"/>
        </w:rPr>
        <w:t xml:space="preserve"> GWB19</w:t>
      </w:r>
      <w:r w:rsidRPr="005F6787">
        <w:rPr>
          <w:szCs w:val="21"/>
        </w:rPr>
        <w:t>条</w:t>
      </w:r>
      <w:r w:rsidRPr="005F6787">
        <w:rPr>
          <w:szCs w:val="21"/>
        </w:rPr>
        <w:t>2</w:t>
      </w:r>
      <w:r w:rsidRPr="005F6787">
        <w:rPr>
          <w:szCs w:val="21"/>
        </w:rPr>
        <w:t>項</w:t>
      </w:r>
      <w:r w:rsidRPr="005F6787">
        <w:rPr>
          <w:szCs w:val="21"/>
        </w:rPr>
        <w:t>2</w:t>
      </w:r>
      <w:r w:rsidRPr="005F6787">
        <w:rPr>
          <w:szCs w:val="21"/>
        </w:rPr>
        <w:t>号の比較市場概念に加えて，基本法上の評価、普通取引約款（</w:t>
      </w:r>
      <w:r w:rsidRPr="005F6787">
        <w:rPr>
          <w:szCs w:val="21"/>
        </w:rPr>
        <w:t>AGB</w:t>
      </w:r>
      <w:r w:rsidRPr="005F6787">
        <w:rPr>
          <w:szCs w:val="21"/>
        </w:rPr>
        <w:t>）法という個別立法の評価、</w:t>
      </w:r>
      <w:r w:rsidR="006262A1" w:rsidRPr="005F6787">
        <w:rPr>
          <w:szCs w:val="21"/>
        </w:rPr>
        <w:t>及び</w:t>
      </w:r>
      <w:r w:rsidRPr="005F6787">
        <w:rPr>
          <w:szCs w:val="21"/>
        </w:rPr>
        <w:t>他の民法の一般条項から引き出した、広い相当性概念（</w:t>
      </w:r>
      <w:r w:rsidRPr="005F6787">
        <w:rPr>
          <w:szCs w:val="21"/>
        </w:rPr>
        <w:t>Angemessenheitskonzep</w:t>
      </w:r>
      <w:r w:rsidR="00FD34D4" w:rsidRPr="005F6787">
        <w:rPr>
          <w:szCs w:val="21"/>
        </w:rPr>
        <w:t>t</w:t>
      </w:r>
      <w:r w:rsidRPr="005F6787">
        <w:rPr>
          <w:szCs w:val="21"/>
        </w:rPr>
        <w:t>）を導き出した。ここでは，特に</w:t>
      </w:r>
      <w:r w:rsidRPr="005F6787">
        <w:rPr>
          <w:szCs w:val="21"/>
        </w:rPr>
        <w:t>AGB</w:t>
      </w:r>
      <w:r w:rsidRPr="005F6787">
        <w:rPr>
          <w:szCs w:val="21"/>
        </w:rPr>
        <w:t>法が示すように，</w:t>
      </w:r>
      <w:r w:rsidRPr="005F6787">
        <w:rPr>
          <w:szCs w:val="21"/>
          <w:u w:val="single"/>
        </w:rPr>
        <w:t>当事者による一方的な契約条件の指定という不均衡な交渉状況における相当な利益調整</w:t>
      </w:r>
      <w:r w:rsidRPr="005F6787">
        <w:rPr>
          <w:szCs w:val="21"/>
        </w:rPr>
        <w:t>（</w:t>
      </w:r>
      <w:r w:rsidRPr="005F6787">
        <w:rPr>
          <w:szCs w:val="21"/>
        </w:rPr>
        <w:t>angemessenen Interessenausgleich</w:t>
      </w:r>
      <w:r w:rsidRPr="005F6787">
        <w:rPr>
          <w:szCs w:val="21"/>
        </w:rPr>
        <w:t>）が重要である。</w:t>
      </w:r>
    </w:p>
    <w:p w14:paraId="7A249561" w14:textId="77777777" w:rsidR="002972CB" w:rsidRPr="005F6787" w:rsidRDefault="002972CB" w:rsidP="002711B8">
      <w:pPr>
        <w:ind w:firstLineChars="100" w:firstLine="210"/>
        <w:rPr>
          <w:szCs w:val="21"/>
          <w:u w:val="single"/>
        </w:rPr>
      </w:pPr>
      <w:r w:rsidRPr="005F6787">
        <w:rPr>
          <w:szCs w:val="21"/>
        </w:rPr>
        <w:t>契約の当事者が，著しく不均衡な交渉ポジションに起因して，実際には一方的に契約内容を決定することが可能なので，</w:t>
      </w:r>
      <w:r w:rsidRPr="005F6787">
        <w:rPr>
          <w:szCs w:val="21"/>
          <w:u w:val="single"/>
        </w:rPr>
        <w:t>憲法によって保障されている私的自治に基づく自己決定が、他者決定に入れ替わってしまうことが阻止されなければならない。</w:t>
      </w:r>
    </w:p>
    <w:p w14:paraId="6883B501" w14:textId="77777777" w:rsidR="002972CB" w:rsidRPr="005F6787" w:rsidRDefault="002972CB" w:rsidP="002711B8">
      <w:pPr>
        <w:ind w:firstLineChars="100" w:firstLine="210"/>
        <w:rPr>
          <w:szCs w:val="21"/>
        </w:rPr>
      </w:pPr>
      <w:r w:rsidRPr="005F6787">
        <w:rPr>
          <w:szCs w:val="21"/>
        </w:rPr>
        <w:t>このため，法秩序，例えば</w:t>
      </w:r>
      <w:r w:rsidRPr="005F6787">
        <w:rPr>
          <w:szCs w:val="21"/>
        </w:rPr>
        <w:t>AGB</w:t>
      </w:r>
      <w:r w:rsidRPr="005F6787">
        <w:rPr>
          <w:szCs w:val="21"/>
        </w:rPr>
        <w:t>法で定められている利益衡量に基づいて契約条件が認められない場合、そのような取引条件は，十分な市場支配力関連性がある場合には，</w:t>
      </w:r>
      <w:r w:rsidRPr="005F6787">
        <w:rPr>
          <w:szCs w:val="21"/>
          <w:u w:val="single"/>
        </w:rPr>
        <w:t>GWB</w:t>
      </w:r>
      <w:r w:rsidRPr="005F6787">
        <w:rPr>
          <w:szCs w:val="21"/>
          <w:u w:val="single"/>
        </w:rPr>
        <w:t>において具体的事情に基づいて行われる利益衡量（</w:t>
      </w:r>
      <w:r w:rsidRPr="005F6787">
        <w:rPr>
          <w:szCs w:val="21"/>
          <w:u w:val="single"/>
        </w:rPr>
        <w:t>Interessenabwägung</w:t>
      </w:r>
      <w:r w:rsidRPr="005F6787">
        <w:rPr>
          <w:szCs w:val="21"/>
          <w:u w:val="single"/>
        </w:rPr>
        <w:t>）</w:t>
      </w:r>
      <w:r w:rsidRPr="005F6787">
        <w:rPr>
          <w:szCs w:val="21"/>
        </w:rPr>
        <w:t>により、濫用をも意味することになる。」（</w:t>
      </w:r>
      <w:r w:rsidRPr="005F6787">
        <w:rPr>
          <w:szCs w:val="21"/>
        </w:rPr>
        <w:t>Rn.528</w:t>
      </w:r>
      <w:r w:rsidRPr="005F6787">
        <w:rPr>
          <w:szCs w:val="21"/>
        </w:rPr>
        <w:t>）</w:t>
      </w:r>
    </w:p>
    <w:p w14:paraId="1FC3D07D" w14:textId="77777777" w:rsidR="002972CB" w:rsidRPr="005F6787" w:rsidRDefault="002972CB" w:rsidP="002711B8">
      <w:pPr>
        <w:ind w:firstLineChars="100" w:firstLine="210"/>
        <w:rPr>
          <w:rFonts w:cs="ＭＳ 明朝"/>
          <w:kern w:val="0"/>
          <w:szCs w:val="21"/>
        </w:rPr>
      </w:pPr>
      <w:r w:rsidRPr="005F6787">
        <w:rPr>
          <w:szCs w:val="21"/>
        </w:rPr>
        <w:t>本決定では、第一に、</w:t>
      </w:r>
      <w:r w:rsidRPr="005F6787">
        <w:rPr>
          <w:szCs w:val="21"/>
        </w:rPr>
        <w:t>GDPR</w:t>
      </w:r>
      <w:r w:rsidRPr="005F6787">
        <w:rPr>
          <w:rFonts w:cs="‚l‚r –¾’©"/>
          <w:kern w:val="0"/>
          <w:szCs w:val="21"/>
        </w:rPr>
        <w:t xml:space="preserve">6 </w:t>
      </w:r>
      <w:r w:rsidRPr="005F6787">
        <w:rPr>
          <w:rFonts w:cs="ＭＳ 明朝"/>
          <w:kern w:val="0"/>
          <w:szCs w:val="21"/>
        </w:rPr>
        <w:t>条</w:t>
      </w:r>
      <w:r w:rsidRPr="005F6787">
        <w:rPr>
          <w:rFonts w:cs="‚l‚r –¾’©"/>
          <w:kern w:val="0"/>
          <w:szCs w:val="21"/>
        </w:rPr>
        <w:t xml:space="preserve">1 </w:t>
      </w:r>
      <w:r w:rsidRPr="005F6787">
        <w:rPr>
          <w:rFonts w:cs="ＭＳ 明朝"/>
          <w:kern w:val="0"/>
          <w:szCs w:val="21"/>
        </w:rPr>
        <w:t>項</w:t>
      </w:r>
      <w:r w:rsidRPr="005F6787">
        <w:rPr>
          <w:rFonts w:cs="‚l‚r –¾’©"/>
          <w:kern w:val="0"/>
          <w:szCs w:val="21"/>
        </w:rPr>
        <w:t>f11</w:t>
      </w:r>
      <w:r w:rsidRPr="005F6787">
        <w:rPr>
          <w:szCs w:val="21"/>
        </w:rPr>
        <w:t>における「</w:t>
      </w:r>
      <w:r w:rsidRPr="005F6787">
        <w:rPr>
          <w:rFonts w:cs="ＭＳ 明朝"/>
          <w:kern w:val="0"/>
          <w:szCs w:val="21"/>
        </w:rPr>
        <w:t>包括的な利益衡量」として、「</w:t>
      </w:r>
      <w:r w:rsidRPr="005F6787">
        <w:rPr>
          <w:rFonts w:cs="ＭＳ 明朝"/>
          <w:kern w:val="0"/>
          <w:szCs w:val="21"/>
        </w:rPr>
        <w:t>FB</w:t>
      </w:r>
      <w:r w:rsidRPr="005F6787">
        <w:rPr>
          <w:rFonts w:cs="ＭＳ 明朝"/>
          <w:kern w:val="0"/>
          <w:szCs w:val="21"/>
        </w:rPr>
        <w:t>が申し立てた利益の正当性と第三者の利益及びユーザーの利益との衡量」が行われる（</w:t>
      </w:r>
      <w:r w:rsidRPr="005F6787">
        <w:rPr>
          <w:szCs w:val="21"/>
        </w:rPr>
        <w:t>Rn.727</w:t>
      </w:r>
      <w:r w:rsidRPr="005F6787">
        <w:rPr>
          <w:szCs w:val="21"/>
        </w:rPr>
        <w:t>～</w:t>
      </w:r>
      <w:r w:rsidRPr="005F6787">
        <w:rPr>
          <w:rFonts w:cs="ＭＳ 明朝"/>
          <w:kern w:val="0"/>
          <w:szCs w:val="21"/>
        </w:rPr>
        <w:t>869</w:t>
      </w:r>
      <w:r w:rsidRPr="005F6787">
        <w:rPr>
          <w:rFonts w:cs="ＭＳ 明朝"/>
          <w:kern w:val="0"/>
          <w:szCs w:val="21"/>
        </w:rPr>
        <w:t>）。その上で第二に、「</w:t>
      </w:r>
      <w:r w:rsidRPr="005F6787">
        <w:rPr>
          <w:rFonts w:cs="ＭＳ 明朝"/>
          <w:kern w:val="0"/>
          <w:szCs w:val="21"/>
        </w:rPr>
        <w:t>GWB</w:t>
      </w:r>
      <w:r w:rsidRPr="005F6787">
        <w:rPr>
          <w:rFonts w:cs="ＭＳ 明朝"/>
          <w:kern w:val="0"/>
          <w:szCs w:val="21"/>
        </w:rPr>
        <w:t>法上の利益衡量」が行われる（</w:t>
      </w:r>
      <w:r w:rsidRPr="005F6787">
        <w:rPr>
          <w:szCs w:val="21"/>
        </w:rPr>
        <w:t>Rn.889</w:t>
      </w:r>
      <w:r w:rsidRPr="005F6787">
        <w:rPr>
          <w:szCs w:val="21"/>
        </w:rPr>
        <w:t>以下</w:t>
      </w:r>
      <w:r w:rsidRPr="005F6787">
        <w:rPr>
          <w:rFonts w:cs="ＭＳ 明朝"/>
          <w:kern w:val="0"/>
          <w:szCs w:val="21"/>
        </w:rPr>
        <w:t>）。</w:t>
      </w:r>
    </w:p>
    <w:p w14:paraId="36221F2E" w14:textId="77777777" w:rsidR="002972CB" w:rsidRPr="005F6787" w:rsidRDefault="002972CB" w:rsidP="002711B8">
      <w:pPr>
        <w:jc w:val="left"/>
        <w:rPr>
          <w:szCs w:val="21"/>
        </w:rPr>
      </w:pPr>
      <w:r w:rsidRPr="005F6787">
        <w:rPr>
          <w:szCs w:val="21"/>
        </w:rPr>
        <w:lastRenderedPageBreak/>
        <w:t xml:space="preserve">  </w:t>
      </w:r>
      <w:r w:rsidRPr="005F6787">
        <w:rPr>
          <w:szCs w:val="21"/>
        </w:rPr>
        <w:t>第一の</w:t>
      </w:r>
      <w:r w:rsidRPr="005F6787">
        <w:rPr>
          <w:szCs w:val="21"/>
        </w:rPr>
        <w:t>GDPR</w:t>
      </w:r>
      <w:r w:rsidR="00AC5C61" w:rsidRPr="005F6787">
        <w:rPr>
          <w:szCs w:val="21"/>
        </w:rPr>
        <w:t>上の</w:t>
      </w:r>
      <w:r w:rsidR="00AC5C61" w:rsidRPr="005F6787">
        <w:rPr>
          <w:rFonts w:cs="ＭＳ 明朝"/>
          <w:kern w:val="0"/>
          <w:szCs w:val="21"/>
        </w:rPr>
        <w:t>利益衡量</w:t>
      </w:r>
      <w:r w:rsidRPr="005F6787">
        <w:rPr>
          <w:szCs w:val="21"/>
        </w:rPr>
        <w:t>については、本決定は、</w:t>
      </w:r>
      <w:r w:rsidRPr="005F6787">
        <w:rPr>
          <w:szCs w:val="21"/>
        </w:rPr>
        <w:t xml:space="preserve">FB </w:t>
      </w:r>
      <w:r w:rsidRPr="005F6787">
        <w:rPr>
          <w:szCs w:val="21"/>
        </w:rPr>
        <w:t>の個人ユーザーに対する</w:t>
      </w:r>
      <w:r w:rsidRPr="005F6787">
        <w:rPr>
          <w:szCs w:val="21"/>
        </w:rPr>
        <w:t>SNS</w:t>
      </w:r>
      <w:r w:rsidRPr="005F6787">
        <w:rPr>
          <w:szCs w:val="21"/>
        </w:rPr>
        <w:t>サービスについて、</w:t>
      </w:r>
      <w:r w:rsidRPr="005F6787">
        <w:rPr>
          <w:szCs w:val="21"/>
        </w:rPr>
        <w:t>GDPR</w:t>
      </w:r>
      <w:r w:rsidRPr="005F6787">
        <w:rPr>
          <w:szCs w:val="21"/>
        </w:rPr>
        <w:t>上の評価、特に有効な同意がないこと（</w:t>
      </w:r>
      <w:r w:rsidRPr="005F6787">
        <w:rPr>
          <w:szCs w:val="21"/>
        </w:rPr>
        <w:t>GDPR6</w:t>
      </w:r>
      <w:r w:rsidRPr="005F6787">
        <w:rPr>
          <w:szCs w:val="21"/>
        </w:rPr>
        <w:t>条</w:t>
      </w:r>
      <w:r w:rsidRPr="005F6787">
        <w:rPr>
          <w:szCs w:val="21"/>
        </w:rPr>
        <w:t>1</w:t>
      </w:r>
      <w:r w:rsidRPr="005F6787">
        <w:rPr>
          <w:szCs w:val="21"/>
        </w:rPr>
        <w:t>項</w:t>
      </w:r>
      <w:r w:rsidRPr="005F6787">
        <w:rPr>
          <w:szCs w:val="21"/>
        </w:rPr>
        <w:t>(a)</w:t>
      </w:r>
      <w:r w:rsidRPr="005F6787">
        <w:rPr>
          <w:szCs w:val="21"/>
        </w:rPr>
        <w:t>）、</w:t>
      </w:r>
      <w:r w:rsidRPr="005F6787">
        <w:rPr>
          <w:szCs w:val="21"/>
        </w:rPr>
        <w:t>FB</w:t>
      </w:r>
      <w:r w:rsidRPr="005F6787">
        <w:rPr>
          <w:szCs w:val="21"/>
        </w:rPr>
        <w:t>の</w:t>
      </w:r>
      <w:r w:rsidRPr="005F6787">
        <w:rPr>
          <w:rFonts w:cs="ＭＳ 明朝"/>
          <w:kern w:val="0"/>
          <w:szCs w:val="21"/>
        </w:rPr>
        <w:t>データ処理は契約履行に必要なものではないこと等から、</w:t>
      </w:r>
      <w:r w:rsidRPr="005F6787">
        <w:rPr>
          <w:szCs w:val="21"/>
        </w:rPr>
        <w:t>FB</w:t>
      </w:r>
      <w:r w:rsidRPr="005F6787">
        <w:rPr>
          <w:szCs w:val="21"/>
        </w:rPr>
        <w:t>の</w:t>
      </w:r>
      <w:r w:rsidRPr="005F6787">
        <w:rPr>
          <w:rFonts w:cs="ＭＳ 明朝"/>
          <w:kern w:val="0"/>
          <w:szCs w:val="21"/>
        </w:rPr>
        <w:t>データ収集・処理を違法と判断した。</w:t>
      </w:r>
    </w:p>
    <w:p w14:paraId="56130465" w14:textId="77777777" w:rsidR="002972CB" w:rsidRPr="005F6787" w:rsidRDefault="002972CB" w:rsidP="002711B8">
      <w:pPr>
        <w:ind w:firstLineChars="100" w:firstLine="210"/>
        <w:rPr>
          <w:rFonts w:cs="ＭＳ 明朝"/>
          <w:kern w:val="0"/>
          <w:szCs w:val="21"/>
        </w:rPr>
      </w:pPr>
      <w:r w:rsidRPr="005F6787">
        <w:rPr>
          <w:rFonts w:cs="ＭＳ 明朝"/>
          <w:kern w:val="0"/>
          <w:szCs w:val="21"/>
        </w:rPr>
        <w:t>さらに第二の</w:t>
      </w:r>
      <w:r w:rsidRPr="005F6787">
        <w:rPr>
          <w:rFonts w:cs="ＭＳ 明朝"/>
          <w:kern w:val="0"/>
          <w:szCs w:val="21"/>
        </w:rPr>
        <w:t>GWB</w:t>
      </w:r>
      <w:r w:rsidRPr="005F6787">
        <w:rPr>
          <w:rFonts w:cs="ＭＳ 明朝"/>
          <w:kern w:val="0"/>
          <w:szCs w:val="21"/>
        </w:rPr>
        <w:t>上の</w:t>
      </w:r>
      <w:r w:rsidR="003D163C" w:rsidRPr="005F6787">
        <w:rPr>
          <w:rFonts w:cs="ＭＳ 明朝"/>
          <w:kern w:val="0"/>
          <w:szCs w:val="21"/>
        </w:rPr>
        <w:t>利益衡量については、従来から、濫用規制の目的から考えるべきだと説かれている</w:t>
      </w:r>
      <w:r w:rsidRPr="005F6787">
        <w:rPr>
          <w:rFonts w:cs="ＭＳ 明朝"/>
          <w:kern w:val="0"/>
          <w:szCs w:val="21"/>
        </w:rPr>
        <w:t>。</w:t>
      </w:r>
    </w:p>
    <w:p w14:paraId="329C8AFB" w14:textId="77777777" w:rsidR="002972CB" w:rsidRPr="005F6787" w:rsidRDefault="002972CB" w:rsidP="002711B8">
      <w:pPr>
        <w:ind w:firstLineChars="100" w:firstLine="210"/>
        <w:rPr>
          <w:szCs w:val="21"/>
        </w:rPr>
      </w:pPr>
      <w:r w:rsidRPr="005F6787">
        <w:rPr>
          <w:szCs w:val="21"/>
        </w:rPr>
        <w:t>「濫用規制の目的は、なかでも、既に支配されている市場をオープンに維持すること、そして、その支配力を利用して第三の市場に進出することを抑止することにある」。前者の市場のオープン性（開放性）の維持については、次のように説かれる。</w:t>
      </w:r>
    </w:p>
    <w:p w14:paraId="3A8C956D" w14:textId="77777777" w:rsidR="002972CB" w:rsidRPr="005F6787" w:rsidRDefault="002972CB" w:rsidP="002711B8">
      <w:pPr>
        <w:ind w:firstLineChars="100" w:firstLine="210"/>
        <w:rPr>
          <w:szCs w:val="21"/>
        </w:rPr>
      </w:pPr>
      <w:r w:rsidRPr="005F6787">
        <w:rPr>
          <w:szCs w:val="21"/>
        </w:rPr>
        <w:t>「濫用規制の目的は、まず第一に、市場支配的事業者の影響範囲においても、競争的過程が展開される空間（または余地。</w:t>
      </w:r>
      <w:r w:rsidRPr="005F6787">
        <w:rPr>
          <w:szCs w:val="21"/>
        </w:rPr>
        <w:t>Raum</w:t>
      </w:r>
      <w:r w:rsidRPr="005F6787">
        <w:rPr>
          <w:szCs w:val="21"/>
        </w:rPr>
        <w:t>）を作るために、第三者の活動の経済的自由を保護することにある。競争は、事業者が自分の経済的行為自由を、法律の枠内で、他の事業者により不当な方法で妨げられることなく、行使することによって生まれるものである」</w:t>
      </w:r>
      <w:r w:rsidRPr="005F6787">
        <w:rPr>
          <w:rStyle w:val="ad"/>
          <w:szCs w:val="21"/>
        </w:rPr>
        <w:footnoteReference w:id="37"/>
      </w:r>
      <w:r w:rsidRPr="005F6787">
        <w:rPr>
          <w:szCs w:val="21"/>
        </w:rPr>
        <w:t>。</w:t>
      </w:r>
    </w:p>
    <w:p w14:paraId="3E4D530F" w14:textId="77777777" w:rsidR="002972CB" w:rsidRPr="005F6787" w:rsidRDefault="002972CB" w:rsidP="002711B8">
      <w:pPr>
        <w:ind w:firstLineChars="100" w:firstLine="210"/>
        <w:rPr>
          <w:szCs w:val="21"/>
        </w:rPr>
      </w:pPr>
      <w:r w:rsidRPr="005F6787">
        <w:rPr>
          <w:szCs w:val="21"/>
        </w:rPr>
        <w:t>この観点から、濫用の具体的判断のためには、市場支配的事業者と第三者（取引の相手方または競争事業者）のそれぞれの、基本権として保護される経済的行為自由を比較衡量することが要請されるのである。</w:t>
      </w:r>
    </w:p>
    <w:p w14:paraId="377845D5" w14:textId="77777777" w:rsidR="002972CB" w:rsidRPr="005F6787" w:rsidRDefault="002972CB" w:rsidP="002711B8">
      <w:pPr>
        <w:ind w:firstLineChars="100" w:firstLine="210"/>
        <w:jc w:val="left"/>
        <w:rPr>
          <w:szCs w:val="21"/>
        </w:rPr>
      </w:pPr>
    </w:p>
    <w:p w14:paraId="1C1BDEFD" w14:textId="77777777" w:rsidR="002972CB" w:rsidRPr="005F6787" w:rsidRDefault="003D163C" w:rsidP="00C47706">
      <w:pPr>
        <w:pStyle w:val="2"/>
        <w:rPr>
          <w:rFonts w:asciiTheme="minorHAnsi" w:hAnsiTheme="minorHAnsi"/>
        </w:rPr>
      </w:pPr>
      <w:r w:rsidRPr="005F6787">
        <w:rPr>
          <w:rFonts w:asciiTheme="minorHAnsi" w:hAnsiTheme="minorHAnsi"/>
        </w:rPr>
        <w:t>5.</w:t>
      </w:r>
      <w:r w:rsidR="002972CB" w:rsidRPr="005F6787">
        <w:rPr>
          <w:rFonts w:asciiTheme="minorHAnsi" w:hAnsiTheme="minorHAnsi"/>
          <w:shd w:val="clear" w:color="auto" w:fill="FFFFFF"/>
        </w:rPr>
        <w:t>「</w:t>
      </w:r>
      <w:r w:rsidR="002972CB" w:rsidRPr="005F6787">
        <w:rPr>
          <w:rFonts w:asciiTheme="minorHAnsi" w:hAnsiTheme="minorHAnsi"/>
        </w:rPr>
        <w:t>情報上の自己決定権」</w:t>
      </w:r>
    </w:p>
    <w:p w14:paraId="744644E2" w14:textId="77777777" w:rsidR="002972CB" w:rsidRPr="005F6787" w:rsidRDefault="00C47706" w:rsidP="00CB28D5">
      <w:pPr>
        <w:jc w:val="left"/>
        <w:rPr>
          <w:szCs w:val="21"/>
        </w:rPr>
      </w:pPr>
      <w:r w:rsidRPr="005F6787">
        <w:rPr>
          <w:szCs w:val="21"/>
        </w:rPr>
        <w:t>(1</w:t>
      </w:r>
      <w:r w:rsidR="002972CB" w:rsidRPr="005F6787">
        <w:rPr>
          <w:szCs w:val="21"/>
        </w:rPr>
        <w:t xml:space="preserve">) </w:t>
      </w:r>
      <w:r w:rsidR="002972CB" w:rsidRPr="005F6787">
        <w:rPr>
          <w:szCs w:val="21"/>
        </w:rPr>
        <w:t>この</w:t>
      </w:r>
      <w:r w:rsidR="002972CB" w:rsidRPr="005F6787">
        <w:rPr>
          <w:szCs w:val="21"/>
        </w:rPr>
        <w:t>FB</w:t>
      </w:r>
      <w:r w:rsidR="002972CB" w:rsidRPr="005F6787">
        <w:rPr>
          <w:szCs w:val="21"/>
        </w:rPr>
        <w:t>事件で問題となっている基本権は、前記の連帯保証決定が触れるような「一般的行為自由」ではなく、</w:t>
      </w:r>
      <w:r w:rsidR="002972CB" w:rsidRPr="005F6787">
        <w:rPr>
          <w:szCs w:val="21"/>
          <w:shd w:val="clear" w:color="auto" w:fill="FFFFFF"/>
        </w:rPr>
        <w:t>「</w:t>
      </w:r>
      <w:r w:rsidR="002972CB" w:rsidRPr="005F6787">
        <w:rPr>
          <w:szCs w:val="21"/>
        </w:rPr>
        <w:t>情報上の自己決定（</w:t>
      </w:r>
      <w:r w:rsidR="002972CB" w:rsidRPr="005F6787">
        <w:rPr>
          <w:szCs w:val="21"/>
        </w:rPr>
        <w:t>informationelle Selbstbestimmung</w:t>
      </w:r>
      <w:r w:rsidR="002972CB" w:rsidRPr="005F6787">
        <w:rPr>
          <w:szCs w:val="21"/>
        </w:rPr>
        <w:t>）という基本権」である。</w:t>
      </w:r>
    </w:p>
    <w:p w14:paraId="46CD7C0D" w14:textId="77777777" w:rsidR="003D163C" w:rsidRPr="005F6787" w:rsidRDefault="002972CB" w:rsidP="002711B8">
      <w:pPr>
        <w:ind w:firstLineChars="100" w:firstLine="210"/>
        <w:jc w:val="left"/>
        <w:rPr>
          <w:szCs w:val="21"/>
        </w:rPr>
      </w:pPr>
      <w:r w:rsidRPr="005F6787">
        <w:rPr>
          <w:szCs w:val="21"/>
        </w:rPr>
        <w:t>ドイツでは、基本法</w:t>
      </w:r>
      <w:r w:rsidRPr="005F6787">
        <w:rPr>
          <w:szCs w:val="21"/>
        </w:rPr>
        <w:t>1</w:t>
      </w:r>
      <w:r w:rsidRPr="005F6787">
        <w:rPr>
          <w:szCs w:val="21"/>
        </w:rPr>
        <w:t>条</w:t>
      </w:r>
      <w:r w:rsidRPr="005F6787">
        <w:rPr>
          <w:szCs w:val="21"/>
        </w:rPr>
        <w:t>1</w:t>
      </w:r>
      <w:r w:rsidRPr="005F6787">
        <w:rPr>
          <w:szCs w:val="21"/>
        </w:rPr>
        <w:t>項（人間の尊厳）と結びついた</w:t>
      </w:r>
      <w:r w:rsidRPr="005F6787">
        <w:rPr>
          <w:szCs w:val="21"/>
        </w:rPr>
        <w:t>2</w:t>
      </w:r>
      <w:r w:rsidRPr="005F6787">
        <w:rPr>
          <w:szCs w:val="21"/>
        </w:rPr>
        <w:t>条</w:t>
      </w:r>
      <w:r w:rsidRPr="005F6787">
        <w:rPr>
          <w:szCs w:val="21"/>
        </w:rPr>
        <w:t>1</w:t>
      </w:r>
      <w:r w:rsidRPr="005F6787">
        <w:rPr>
          <w:szCs w:val="21"/>
        </w:rPr>
        <w:t>項（「自らの人格の自由な発展を求める権利」＝「一般的人格権」とも呼ばれる）によって、自由な自己決定を行う個人の尊厳が基本法秩序の中心にあるとされている。</w:t>
      </w:r>
    </w:p>
    <w:p w14:paraId="541CD291" w14:textId="254FC60F" w:rsidR="002972CB" w:rsidRPr="005F6787" w:rsidRDefault="00C47706" w:rsidP="00C47706">
      <w:pPr>
        <w:ind w:firstLineChars="100" w:firstLine="210"/>
        <w:jc w:val="left"/>
        <w:rPr>
          <w:szCs w:val="21"/>
        </w:rPr>
      </w:pPr>
      <w:r w:rsidRPr="005F6787">
        <w:rPr>
          <w:szCs w:val="21"/>
        </w:rPr>
        <w:t>この立場を基礎とし</w:t>
      </w:r>
      <w:r w:rsidR="006C3076" w:rsidRPr="005F6787">
        <w:rPr>
          <w:szCs w:val="21"/>
        </w:rPr>
        <w:t>た従来の多くの判例を踏まえて</w:t>
      </w:r>
      <w:r w:rsidRPr="005F6787">
        <w:rPr>
          <w:szCs w:val="21"/>
        </w:rPr>
        <w:t>、</w:t>
      </w:r>
      <w:r w:rsidR="002972CB" w:rsidRPr="005F6787">
        <w:rPr>
          <w:szCs w:val="21"/>
        </w:rPr>
        <w:t>ドイツ連邦憲法裁判所</w:t>
      </w:r>
      <w:bookmarkStart w:id="9" w:name="_Hlk58747459"/>
      <w:r w:rsidR="0070238D" w:rsidRPr="005F6787">
        <w:rPr>
          <w:szCs w:val="21"/>
        </w:rPr>
        <w:t>「国勢調査判決」</w:t>
      </w:r>
      <w:bookmarkEnd w:id="9"/>
      <w:r w:rsidR="002972CB" w:rsidRPr="005F6787">
        <w:rPr>
          <w:szCs w:val="21"/>
        </w:rPr>
        <w:t>1983</w:t>
      </w:r>
      <w:r w:rsidR="002972CB" w:rsidRPr="005F6787">
        <w:rPr>
          <w:szCs w:val="21"/>
        </w:rPr>
        <w:t>年</w:t>
      </w:r>
      <w:r w:rsidR="002972CB" w:rsidRPr="005F6787">
        <w:rPr>
          <w:szCs w:val="21"/>
        </w:rPr>
        <w:t>12</w:t>
      </w:r>
      <w:r w:rsidR="002972CB" w:rsidRPr="005F6787">
        <w:rPr>
          <w:szCs w:val="21"/>
        </w:rPr>
        <w:t>月</w:t>
      </w:r>
      <w:r w:rsidR="002972CB" w:rsidRPr="005F6787">
        <w:rPr>
          <w:szCs w:val="21"/>
        </w:rPr>
        <w:t>15</w:t>
      </w:r>
      <w:r w:rsidR="002972CB" w:rsidRPr="005F6787">
        <w:rPr>
          <w:szCs w:val="21"/>
        </w:rPr>
        <w:t>日</w:t>
      </w:r>
      <w:bookmarkStart w:id="10" w:name="_Hlk58747444"/>
      <w:r w:rsidR="002972CB" w:rsidRPr="005F6787">
        <w:rPr>
          <w:szCs w:val="21"/>
        </w:rPr>
        <w:t>（</w:t>
      </w:r>
      <w:r w:rsidR="0070238D" w:rsidRPr="005F6787">
        <w:t>BVerfGE 65, 1</w:t>
      </w:r>
      <w:r w:rsidR="002972CB" w:rsidRPr="005F6787">
        <w:rPr>
          <w:szCs w:val="21"/>
        </w:rPr>
        <w:t>）</w:t>
      </w:r>
      <w:bookmarkEnd w:id="10"/>
      <w:r w:rsidR="002972CB" w:rsidRPr="005F6787">
        <w:rPr>
          <w:szCs w:val="21"/>
        </w:rPr>
        <w:t>は、「情報自己決定権」（情報について自己決</w:t>
      </w:r>
      <w:r w:rsidR="00F4663F" w:rsidRPr="005F6787">
        <w:rPr>
          <w:szCs w:val="21"/>
        </w:rPr>
        <w:t>定を求める権利）という新たな概念を打ち出し、国勢調査の調査事項について、</w:t>
      </w:r>
      <w:r w:rsidR="002972CB" w:rsidRPr="005F6787">
        <w:rPr>
          <w:szCs w:val="21"/>
        </w:rPr>
        <w:t>届出帳簿との照合を許す規程、連邦・ラント行政庁への提供を許す規程等を違憲とし、以後の判例・学説もこれに従って「情報自己決定権」を基本権として認めている</w:t>
      </w:r>
      <w:r w:rsidR="002972CB" w:rsidRPr="005F6787">
        <w:rPr>
          <w:rStyle w:val="ad"/>
          <w:szCs w:val="21"/>
        </w:rPr>
        <w:footnoteReference w:id="38"/>
      </w:r>
      <w:r w:rsidR="002972CB" w:rsidRPr="005F6787">
        <w:rPr>
          <w:szCs w:val="21"/>
        </w:rPr>
        <w:t>。</w:t>
      </w:r>
    </w:p>
    <w:p w14:paraId="70C6E854" w14:textId="728D06D3" w:rsidR="002972CB" w:rsidRPr="005F6787" w:rsidRDefault="002972CB" w:rsidP="00F60238">
      <w:pPr>
        <w:ind w:firstLineChars="100" w:firstLine="210"/>
        <w:jc w:val="left"/>
        <w:rPr>
          <w:szCs w:val="21"/>
        </w:rPr>
      </w:pPr>
      <w:r w:rsidRPr="005F6787">
        <w:rPr>
          <w:szCs w:val="21"/>
        </w:rPr>
        <w:lastRenderedPageBreak/>
        <w:t>この国勢調査</w:t>
      </w:r>
      <w:r w:rsidR="00B37365" w:rsidRPr="005F6787">
        <w:rPr>
          <w:szCs w:val="21"/>
        </w:rPr>
        <w:t>判決</w:t>
      </w:r>
      <w:r w:rsidRPr="005F6787">
        <w:rPr>
          <w:szCs w:val="21"/>
        </w:rPr>
        <w:t>は、本件事案に即して、公権力に対抗するためのものとして自己決定を捉えており、</w:t>
      </w:r>
      <w:r w:rsidR="00AC5C61" w:rsidRPr="005F6787">
        <w:rPr>
          <w:szCs w:val="21"/>
        </w:rPr>
        <w:t>FB</w:t>
      </w:r>
      <w:r w:rsidR="00AC5C61" w:rsidRPr="005F6787">
        <w:rPr>
          <w:szCs w:val="21"/>
        </w:rPr>
        <w:t>事件におけるような</w:t>
      </w:r>
      <w:r w:rsidRPr="005F6787">
        <w:rPr>
          <w:szCs w:val="21"/>
        </w:rPr>
        <w:t>、私人間の関係について</w:t>
      </w:r>
      <w:r w:rsidR="00AC5C61" w:rsidRPr="005F6787">
        <w:rPr>
          <w:szCs w:val="21"/>
        </w:rPr>
        <w:t>そのまま通用するものではない。</w:t>
      </w:r>
      <w:r w:rsidR="00600265" w:rsidRPr="005F6787">
        <w:rPr>
          <w:szCs w:val="21"/>
        </w:rPr>
        <w:t>私人間の関係に対する基本権規定の適用について、</w:t>
      </w:r>
      <w:r w:rsidRPr="005F6787">
        <w:rPr>
          <w:szCs w:val="21"/>
        </w:rPr>
        <w:t>ドイツの憲法学説の多くは間接適用説を採っている</w:t>
      </w:r>
      <w:r w:rsidR="00600265" w:rsidRPr="005F6787">
        <w:rPr>
          <w:szCs w:val="21"/>
        </w:rPr>
        <w:t>ようであるが</w:t>
      </w:r>
      <w:r w:rsidRPr="005F6787">
        <w:rPr>
          <w:szCs w:val="21"/>
        </w:rPr>
        <w:t>、その場合にも、情報自己決定権が私人間関係に及ぼす影響は大きいと評価されている</w:t>
      </w:r>
      <w:r w:rsidRPr="005F6787">
        <w:rPr>
          <w:rStyle w:val="ad"/>
          <w:szCs w:val="21"/>
        </w:rPr>
        <w:footnoteReference w:id="39"/>
      </w:r>
      <w:r w:rsidRPr="005F6787">
        <w:rPr>
          <w:szCs w:val="21"/>
        </w:rPr>
        <w:t>。</w:t>
      </w:r>
    </w:p>
    <w:p w14:paraId="44669674" w14:textId="77777777" w:rsidR="006C3076" w:rsidRPr="005F6787" w:rsidRDefault="006C3076" w:rsidP="00F60238">
      <w:pPr>
        <w:ind w:firstLineChars="100" w:firstLine="210"/>
        <w:jc w:val="left"/>
        <w:rPr>
          <w:szCs w:val="21"/>
        </w:rPr>
      </w:pPr>
    </w:p>
    <w:p w14:paraId="19CBCEB0" w14:textId="0E47EF0C" w:rsidR="002972CB" w:rsidRPr="005F6787" w:rsidRDefault="00C47706" w:rsidP="00CB28D5">
      <w:pPr>
        <w:jc w:val="left"/>
        <w:rPr>
          <w:szCs w:val="21"/>
        </w:rPr>
      </w:pPr>
      <w:r w:rsidRPr="005F6787">
        <w:rPr>
          <w:szCs w:val="21"/>
        </w:rPr>
        <w:t>(2</w:t>
      </w:r>
      <w:r w:rsidR="002972CB" w:rsidRPr="005F6787">
        <w:rPr>
          <w:szCs w:val="21"/>
        </w:rPr>
        <w:t xml:space="preserve">) </w:t>
      </w:r>
      <w:r w:rsidR="002972CB" w:rsidRPr="005F6787">
        <w:rPr>
          <w:szCs w:val="21"/>
        </w:rPr>
        <w:t>本</w:t>
      </w:r>
      <w:bookmarkStart w:id="16" w:name="_Hlk58747659"/>
      <w:r w:rsidR="00B37365" w:rsidRPr="005F6787">
        <w:rPr>
          <w:szCs w:val="21"/>
        </w:rPr>
        <w:t>フェイスブック事件</w:t>
      </w:r>
      <w:bookmarkEnd w:id="16"/>
      <w:r w:rsidR="002972CB" w:rsidRPr="005F6787">
        <w:rPr>
          <w:szCs w:val="21"/>
        </w:rPr>
        <w:t>決定は、前記</w:t>
      </w:r>
      <w:r w:rsidR="002972CB" w:rsidRPr="005F6787">
        <w:rPr>
          <w:szCs w:val="21"/>
        </w:rPr>
        <w:t>(</w:t>
      </w:r>
      <w:bookmarkStart w:id="17" w:name="_Hlk58747676"/>
      <w:r w:rsidR="00B37365" w:rsidRPr="005F6787">
        <w:rPr>
          <w:rFonts w:ascii="ＭＳ 明朝" w:eastAsia="ＭＳ 明朝" w:hAnsi="ＭＳ 明朝" w:cs="ＭＳ 明朝" w:hint="eastAsia"/>
          <w:szCs w:val="21"/>
        </w:rPr>
        <w:t>Ⅲ</w:t>
      </w:r>
      <w:r w:rsidR="00B37365" w:rsidRPr="005F6787">
        <w:rPr>
          <w:szCs w:val="21"/>
        </w:rPr>
        <w:t>4</w:t>
      </w:r>
      <w:bookmarkEnd w:id="17"/>
      <w:r w:rsidR="002972CB" w:rsidRPr="005F6787">
        <w:rPr>
          <w:szCs w:val="21"/>
        </w:rPr>
        <w:t>)</w:t>
      </w:r>
      <w:r w:rsidR="002972CB" w:rsidRPr="005F6787">
        <w:rPr>
          <w:szCs w:val="21"/>
        </w:rPr>
        <w:t>の</w:t>
      </w:r>
      <w:r w:rsidR="002972CB" w:rsidRPr="005F6787">
        <w:rPr>
          <w:szCs w:val="21"/>
        </w:rPr>
        <w:t>GWB</w:t>
      </w:r>
      <w:r w:rsidR="002972CB" w:rsidRPr="005F6787">
        <w:rPr>
          <w:szCs w:val="21"/>
        </w:rPr>
        <w:t>上の利益衡量につき、</w:t>
      </w:r>
      <w:r w:rsidR="002972CB" w:rsidRPr="005F6787">
        <w:rPr>
          <w:szCs w:val="21"/>
        </w:rPr>
        <w:t>Pechstein</w:t>
      </w:r>
      <w:r w:rsidR="002972CB" w:rsidRPr="005F6787">
        <w:rPr>
          <w:szCs w:val="21"/>
        </w:rPr>
        <w:t>判決が例として挙げた普通取引約款法（</w:t>
      </w:r>
      <w:r w:rsidR="002972CB" w:rsidRPr="005F6787">
        <w:rPr>
          <w:szCs w:val="21"/>
        </w:rPr>
        <w:t>AGB</w:t>
      </w:r>
      <w:r w:rsidR="002972CB" w:rsidRPr="005F6787">
        <w:rPr>
          <w:szCs w:val="21"/>
        </w:rPr>
        <w:t>）ないし民法</w:t>
      </w:r>
      <w:r w:rsidR="002972CB" w:rsidRPr="005F6787">
        <w:rPr>
          <w:szCs w:val="21"/>
        </w:rPr>
        <w:t>307</w:t>
      </w:r>
      <w:r w:rsidR="002972CB" w:rsidRPr="005F6787">
        <w:rPr>
          <w:szCs w:val="21"/>
        </w:rPr>
        <w:t>条以下の代わりに、情報自己決定権を持ち出すことも可能だと述べる。</w:t>
      </w:r>
    </w:p>
    <w:p w14:paraId="3AC4E644" w14:textId="77777777" w:rsidR="002972CB" w:rsidRPr="005F6787" w:rsidRDefault="002972CB" w:rsidP="002711B8">
      <w:pPr>
        <w:ind w:firstLineChars="100" w:firstLine="210"/>
        <w:jc w:val="left"/>
        <w:rPr>
          <w:rFonts w:cs="Arial"/>
          <w:kern w:val="0"/>
          <w:szCs w:val="21"/>
        </w:rPr>
      </w:pPr>
      <w:r w:rsidRPr="005F6787">
        <w:rPr>
          <w:szCs w:val="21"/>
        </w:rPr>
        <w:lastRenderedPageBreak/>
        <w:t>「（利益衡量に関するこの判例法理は）、</w:t>
      </w:r>
      <w:r w:rsidRPr="005F6787">
        <w:rPr>
          <w:rFonts w:cs="Arial"/>
          <w:kern w:val="0"/>
          <w:szCs w:val="21"/>
        </w:rPr>
        <w:t>不均衡な交渉状況における取引条件の相当性に関する限り、十分な市場関連性のもとで、法秩序のすべての評価に移すことができる。</w:t>
      </w:r>
      <w:r w:rsidRPr="005F6787">
        <w:rPr>
          <w:szCs w:val="21"/>
        </w:rPr>
        <w:t>これはとくに、情報自己決定権ないしデータ保護基本権（</w:t>
      </w:r>
      <w:r w:rsidRPr="005F6787">
        <w:rPr>
          <w:szCs w:val="21"/>
        </w:rPr>
        <w:t>i</w:t>
      </w:r>
      <w:r w:rsidRPr="005F6787">
        <w:rPr>
          <w:rFonts w:cs="Arial"/>
          <w:kern w:val="0"/>
          <w:szCs w:val="21"/>
        </w:rPr>
        <w:t>nformationelle Selbstbestimmungsrecht bzw. Das Grundrecht auf Datenschutz</w:t>
      </w:r>
      <w:r w:rsidRPr="005F6787">
        <w:rPr>
          <w:rFonts w:cs="Arial"/>
          <w:kern w:val="0"/>
          <w:szCs w:val="21"/>
        </w:rPr>
        <w:t>）に内在する相当性が直接に関係する。」（</w:t>
      </w:r>
      <w:r w:rsidRPr="005F6787">
        <w:rPr>
          <w:rFonts w:cs="Arial"/>
          <w:kern w:val="0"/>
          <w:szCs w:val="21"/>
        </w:rPr>
        <w:t>Rn.529</w:t>
      </w:r>
      <w:r w:rsidRPr="005F6787">
        <w:rPr>
          <w:rFonts w:cs="Arial"/>
          <w:kern w:val="0"/>
          <w:szCs w:val="21"/>
        </w:rPr>
        <w:t>）</w:t>
      </w:r>
    </w:p>
    <w:p w14:paraId="2EC29E9D" w14:textId="77777777" w:rsidR="002972CB" w:rsidRPr="005F6787" w:rsidRDefault="002972CB" w:rsidP="002711B8">
      <w:pPr>
        <w:autoSpaceDE w:val="0"/>
        <w:autoSpaceDN w:val="0"/>
        <w:adjustRightInd w:val="0"/>
        <w:ind w:firstLineChars="100" w:firstLine="210"/>
        <w:jc w:val="left"/>
        <w:rPr>
          <w:rFonts w:cs="Arial"/>
          <w:kern w:val="0"/>
          <w:szCs w:val="21"/>
        </w:rPr>
      </w:pPr>
      <w:r w:rsidRPr="005F6787">
        <w:rPr>
          <w:rFonts w:cs="Arial"/>
          <w:kern w:val="0"/>
          <w:szCs w:val="21"/>
        </w:rPr>
        <w:t>「データ保護法の目的は、なかんずく、組織と個人の間における力関係に対抗し、責任を負う者と関係者の間の相当な利益調整を作ることにある。データ保護法は、個人に対し、</w:t>
      </w:r>
      <w:r w:rsidRPr="005F6787">
        <w:rPr>
          <w:rFonts w:cs="Arial"/>
          <w:kern w:val="0"/>
          <w:szCs w:val="21"/>
          <w:u w:val="single"/>
        </w:rPr>
        <w:t>情報上の自己決定という基本権</w:t>
      </w:r>
      <w:r w:rsidRPr="005F6787">
        <w:rPr>
          <w:rFonts w:cs="Arial"/>
          <w:kern w:val="0"/>
          <w:szCs w:val="21"/>
        </w:rPr>
        <w:t>を保護するために、</w:t>
      </w:r>
      <w:r w:rsidRPr="005F6787">
        <w:rPr>
          <w:rFonts w:cs="Arial"/>
          <w:kern w:val="0"/>
          <w:szCs w:val="21"/>
          <w:u w:val="single"/>
        </w:rPr>
        <w:t>自己決定として、また第三者による強制の行使などなく、自らの人格に関係するデータの取扱いについて自由に決定する権利</w:t>
      </w:r>
      <w:r w:rsidRPr="005F6787">
        <w:rPr>
          <w:rFonts w:cs="Arial"/>
          <w:kern w:val="0"/>
          <w:szCs w:val="21"/>
        </w:rPr>
        <w:t>を割当てる。</w:t>
      </w:r>
    </w:p>
    <w:p w14:paraId="7B4BB3B0" w14:textId="77777777" w:rsidR="002972CB" w:rsidRPr="005F6787" w:rsidRDefault="002972CB" w:rsidP="002711B8">
      <w:pPr>
        <w:autoSpaceDE w:val="0"/>
        <w:autoSpaceDN w:val="0"/>
        <w:adjustRightInd w:val="0"/>
        <w:ind w:firstLineChars="100" w:firstLine="210"/>
        <w:jc w:val="left"/>
        <w:rPr>
          <w:szCs w:val="21"/>
        </w:rPr>
      </w:pPr>
      <w:r w:rsidRPr="005F6787">
        <w:rPr>
          <w:rFonts w:cs="Arial"/>
          <w:kern w:val="0"/>
          <w:szCs w:val="21"/>
        </w:rPr>
        <w:t>このことは、個人の国家に対する関係においてのみならず、私人に対する関係においても妥当するのであるから、データ保護法は、データを駆動力とする産業において、まさに、現在の力の均衡に対し、個人を支えるべきものである」。（</w:t>
      </w:r>
      <w:r w:rsidRPr="005F6787">
        <w:rPr>
          <w:rFonts w:cs="Arial"/>
          <w:kern w:val="0"/>
          <w:szCs w:val="21"/>
        </w:rPr>
        <w:t>Rn.530</w:t>
      </w:r>
      <w:r w:rsidRPr="005F6787">
        <w:rPr>
          <w:rFonts w:cs="Arial"/>
          <w:kern w:val="0"/>
          <w:szCs w:val="21"/>
        </w:rPr>
        <w:t>）</w:t>
      </w:r>
    </w:p>
    <w:p w14:paraId="22397228" w14:textId="1D3A0222" w:rsidR="002972CB" w:rsidRPr="005F6787" w:rsidRDefault="002972CB" w:rsidP="002711B8">
      <w:pPr>
        <w:autoSpaceDE w:val="0"/>
        <w:autoSpaceDN w:val="0"/>
        <w:adjustRightInd w:val="0"/>
        <w:ind w:firstLineChars="100" w:firstLine="210"/>
        <w:jc w:val="left"/>
        <w:rPr>
          <w:rFonts w:cs="Arial"/>
          <w:kern w:val="0"/>
          <w:szCs w:val="21"/>
        </w:rPr>
      </w:pPr>
      <w:r w:rsidRPr="005F6787">
        <w:rPr>
          <w:szCs w:val="21"/>
        </w:rPr>
        <w:t>このように、</w:t>
      </w:r>
      <w:r w:rsidR="006E78FC" w:rsidRPr="005F6787">
        <w:rPr>
          <w:szCs w:val="21"/>
        </w:rPr>
        <w:t>本決定</w:t>
      </w:r>
      <w:r w:rsidR="00861EC9" w:rsidRPr="005F6787">
        <w:rPr>
          <w:szCs w:val="21"/>
        </w:rPr>
        <w:t>が示した</w:t>
      </w:r>
      <w:r w:rsidR="006E78FC" w:rsidRPr="005F6787">
        <w:rPr>
          <w:szCs w:val="21"/>
        </w:rPr>
        <w:t>、</w:t>
      </w:r>
      <w:r w:rsidRPr="005F6787">
        <w:rPr>
          <w:szCs w:val="21"/>
        </w:rPr>
        <w:t>基本権としての情報自己決定権、</w:t>
      </w:r>
      <w:r w:rsidR="006262A1" w:rsidRPr="005F6787">
        <w:rPr>
          <w:szCs w:val="21"/>
        </w:rPr>
        <w:t>及び</w:t>
      </w:r>
      <w:r w:rsidRPr="005F6787">
        <w:rPr>
          <w:szCs w:val="21"/>
        </w:rPr>
        <w:t>実定法としての</w:t>
      </w:r>
      <w:r w:rsidRPr="005F6787">
        <w:rPr>
          <w:rFonts w:cs="Arial"/>
          <w:kern w:val="0"/>
          <w:szCs w:val="21"/>
        </w:rPr>
        <w:t>データ保護法に基づく権利を、組織と個人の間における力関係に対抗し</w:t>
      </w:r>
      <w:r w:rsidR="0057676D" w:rsidRPr="005F6787">
        <w:rPr>
          <w:rStyle w:val="ad"/>
          <w:rFonts w:cs="Arial"/>
          <w:kern w:val="0"/>
          <w:szCs w:val="21"/>
        </w:rPr>
        <w:footnoteReference w:id="40"/>
      </w:r>
      <w:r w:rsidRPr="005F6787">
        <w:rPr>
          <w:rFonts w:cs="Arial"/>
          <w:kern w:val="0"/>
          <w:szCs w:val="21"/>
        </w:rPr>
        <w:t>、「相当な利益調整」のもとで、個人を支えるべきものであるという基本的見方は、市場支配的地位の表出という概念を介して、</w:t>
      </w:r>
      <w:r w:rsidR="00910095" w:rsidRPr="005F6787">
        <w:rPr>
          <w:rFonts w:cs="Arial"/>
          <w:kern w:val="0"/>
          <w:szCs w:val="21"/>
        </w:rPr>
        <w:t>競争制限禁止法</w:t>
      </w:r>
      <w:r w:rsidRPr="005F6787">
        <w:rPr>
          <w:rFonts w:cs="Arial"/>
          <w:kern w:val="0"/>
          <w:szCs w:val="21"/>
        </w:rPr>
        <w:t>上の搾取</w:t>
      </w:r>
      <w:r w:rsidR="00967D5F" w:rsidRPr="005F6787">
        <w:rPr>
          <w:rFonts w:cs="Arial"/>
          <w:kern w:val="0"/>
          <w:szCs w:val="21"/>
        </w:rPr>
        <w:t>的</w:t>
      </w:r>
      <w:r w:rsidRPr="005F6787">
        <w:rPr>
          <w:rFonts w:cs="Arial"/>
          <w:kern w:val="0"/>
          <w:szCs w:val="21"/>
        </w:rPr>
        <w:t>濫用の基本的性格と連続するのである。</w:t>
      </w:r>
    </w:p>
    <w:p w14:paraId="10DD2EE4" w14:textId="77777777" w:rsidR="00B02CA5" w:rsidRPr="005F6787" w:rsidRDefault="00B02CA5" w:rsidP="002711B8">
      <w:pPr>
        <w:autoSpaceDE w:val="0"/>
        <w:autoSpaceDN w:val="0"/>
        <w:adjustRightInd w:val="0"/>
        <w:ind w:firstLineChars="100" w:firstLine="210"/>
        <w:jc w:val="left"/>
        <w:rPr>
          <w:rFonts w:cs="Arial"/>
          <w:kern w:val="0"/>
          <w:szCs w:val="21"/>
        </w:rPr>
      </w:pPr>
    </w:p>
    <w:p w14:paraId="105CA9D0" w14:textId="77777777" w:rsidR="00EF15EC" w:rsidRPr="005F6787" w:rsidRDefault="00C47706" w:rsidP="00C47706">
      <w:pPr>
        <w:pStyle w:val="2"/>
        <w:rPr>
          <w:rFonts w:asciiTheme="minorHAnsi" w:hAnsiTheme="minorHAnsi"/>
        </w:rPr>
      </w:pPr>
      <w:r w:rsidRPr="005F6787">
        <w:rPr>
          <w:rFonts w:asciiTheme="minorHAnsi" w:hAnsiTheme="minorHAnsi"/>
        </w:rPr>
        <w:t>6.</w:t>
      </w:r>
      <w:r w:rsidR="00B02CA5" w:rsidRPr="005F6787">
        <w:rPr>
          <w:rFonts w:asciiTheme="minorHAnsi" w:hAnsiTheme="minorHAnsi"/>
        </w:rPr>
        <w:t xml:space="preserve"> </w:t>
      </w:r>
      <w:r w:rsidR="005D3DDC" w:rsidRPr="005F6787">
        <w:rPr>
          <w:rFonts w:asciiTheme="minorHAnsi" w:hAnsiTheme="minorHAnsi"/>
        </w:rPr>
        <w:t>競争法とデータ保護法</w:t>
      </w:r>
    </w:p>
    <w:p w14:paraId="4DEB40E4" w14:textId="77777777" w:rsidR="002972CB" w:rsidRPr="005F6787" w:rsidRDefault="00B02CA5" w:rsidP="00EF15EC">
      <w:pPr>
        <w:autoSpaceDE w:val="0"/>
        <w:autoSpaceDN w:val="0"/>
        <w:adjustRightInd w:val="0"/>
        <w:ind w:firstLineChars="100" w:firstLine="210"/>
        <w:jc w:val="left"/>
        <w:rPr>
          <w:szCs w:val="21"/>
        </w:rPr>
      </w:pPr>
      <w:r w:rsidRPr="005F6787">
        <w:rPr>
          <w:rFonts w:cs="Arial"/>
          <w:kern w:val="0"/>
          <w:szCs w:val="21"/>
        </w:rPr>
        <w:t>本決定については、</w:t>
      </w:r>
      <w:r w:rsidRPr="005F6787">
        <w:rPr>
          <w:szCs w:val="21"/>
        </w:rPr>
        <w:t>なぜデータ保護法で対処しないのか</w:t>
      </w:r>
      <w:r w:rsidR="003302A8" w:rsidRPr="005F6787">
        <w:rPr>
          <w:szCs w:val="21"/>
        </w:rPr>
        <w:t>という疑問も生じる。</w:t>
      </w:r>
    </w:p>
    <w:p w14:paraId="55254ABC" w14:textId="77777777" w:rsidR="003302A8" w:rsidRPr="005F6787" w:rsidRDefault="00AD0958" w:rsidP="00B02CA5">
      <w:pPr>
        <w:autoSpaceDE w:val="0"/>
        <w:autoSpaceDN w:val="0"/>
        <w:adjustRightInd w:val="0"/>
        <w:jc w:val="left"/>
        <w:rPr>
          <w:rFonts w:cs="Times New Roman"/>
          <w:szCs w:val="21"/>
        </w:rPr>
      </w:pPr>
      <w:r w:rsidRPr="005F6787">
        <w:rPr>
          <w:szCs w:val="21"/>
        </w:rPr>
        <w:t xml:space="preserve">　</w:t>
      </w:r>
      <w:r w:rsidR="000203B5" w:rsidRPr="005F6787">
        <w:rPr>
          <w:szCs w:val="21"/>
        </w:rPr>
        <w:t>これについては、第一に、</w:t>
      </w:r>
      <w:r w:rsidRPr="005F6787">
        <w:rPr>
          <w:rFonts w:cs="Arial"/>
          <w:kern w:val="0"/>
          <w:szCs w:val="21"/>
        </w:rPr>
        <w:t>本決定は、前述のように、</w:t>
      </w:r>
      <w:r w:rsidR="00EF15EC" w:rsidRPr="005F6787">
        <w:rPr>
          <w:rFonts w:cs="Arial"/>
          <w:kern w:val="0"/>
          <w:szCs w:val="21"/>
        </w:rPr>
        <w:t>GEB</w:t>
      </w:r>
      <w:r w:rsidR="00EF15EC" w:rsidRPr="005F6787">
        <w:rPr>
          <w:rFonts w:cs="Arial"/>
          <w:kern w:val="0"/>
          <w:szCs w:val="21"/>
        </w:rPr>
        <w:t>上の濫用規制、約款規制についての民法上の諸規定、そして</w:t>
      </w:r>
      <w:r w:rsidR="00EF15EC" w:rsidRPr="005F6787">
        <w:rPr>
          <w:rFonts w:cs="Times New Roman"/>
          <w:szCs w:val="21"/>
        </w:rPr>
        <w:t>データ保護法の</w:t>
      </w:r>
      <w:r w:rsidR="00EF15EC" w:rsidRPr="005F6787">
        <w:rPr>
          <w:rFonts w:cs="Times New Roman"/>
          <w:szCs w:val="21"/>
        </w:rPr>
        <w:t>3</w:t>
      </w:r>
      <w:r w:rsidR="00EF15EC" w:rsidRPr="005F6787">
        <w:rPr>
          <w:rFonts w:cs="Times New Roman"/>
          <w:szCs w:val="21"/>
        </w:rPr>
        <w:t>者を</w:t>
      </w:r>
      <w:r w:rsidR="00847687" w:rsidRPr="005F6787">
        <w:rPr>
          <w:rFonts w:cs="Times New Roman"/>
          <w:szCs w:val="21"/>
        </w:rPr>
        <w:t>結びつけた</w:t>
      </w:r>
      <w:r w:rsidR="00EF15EC" w:rsidRPr="005F6787">
        <w:rPr>
          <w:rFonts w:cs="Times New Roman"/>
          <w:szCs w:val="21"/>
        </w:rPr>
        <w:t>解釈</w:t>
      </w:r>
      <w:r w:rsidR="00847687" w:rsidRPr="005F6787">
        <w:rPr>
          <w:rFonts w:cs="Times New Roman"/>
          <w:szCs w:val="21"/>
        </w:rPr>
        <w:t>論を展開</w:t>
      </w:r>
      <w:r w:rsidR="00EF15EC" w:rsidRPr="005F6787">
        <w:rPr>
          <w:rFonts w:cs="Times New Roman"/>
          <w:szCs w:val="21"/>
        </w:rPr>
        <w:t>している</w:t>
      </w:r>
      <w:r w:rsidR="00847687" w:rsidRPr="005F6787">
        <w:rPr>
          <w:rFonts w:cs="Times New Roman"/>
          <w:szCs w:val="21"/>
        </w:rPr>
        <w:t>（</w:t>
      </w:r>
      <w:r w:rsidR="00847687" w:rsidRPr="005F6787">
        <w:rPr>
          <w:rFonts w:cs="Times New Roman"/>
          <w:szCs w:val="21"/>
        </w:rPr>
        <w:t>Rn.533,534</w:t>
      </w:r>
      <w:r w:rsidR="00847687" w:rsidRPr="005F6787">
        <w:rPr>
          <w:rFonts w:cs="Times New Roman"/>
          <w:szCs w:val="21"/>
        </w:rPr>
        <w:t>も参照）</w:t>
      </w:r>
      <w:r w:rsidR="00EF15EC" w:rsidRPr="005F6787">
        <w:rPr>
          <w:rFonts w:cs="Times New Roman"/>
          <w:szCs w:val="21"/>
        </w:rPr>
        <w:t>。</w:t>
      </w:r>
    </w:p>
    <w:p w14:paraId="12B0FB52" w14:textId="77777777" w:rsidR="005D3DDC" w:rsidRPr="005F6787" w:rsidRDefault="00847687" w:rsidP="00B02CA5">
      <w:pPr>
        <w:autoSpaceDE w:val="0"/>
        <w:autoSpaceDN w:val="0"/>
        <w:adjustRightInd w:val="0"/>
        <w:jc w:val="left"/>
        <w:rPr>
          <w:rFonts w:cs="Arial"/>
          <w:kern w:val="0"/>
          <w:szCs w:val="21"/>
        </w:rPr>
      </w:pPr>
      <w:r w:rsidRPr="005F6787">
        <w:rPr>
          <w:szCs w:val="21"/>
        </w:rPr>
        <w:t xml:space="preserve">　</w:t>
      </w:r>
      <w:r w:rsidR="000203B5" w:rsidRPr="005F6787">
        <w:rPr>
          <w:szCs w:val="21"/>
        </w:rPr>
        <w:t>第二に、</w:t>
      </w:r>
      <w:r w:rsidRPr="005F6787">
        <w:rPr>
          <w:szCs w:val="21"/>
        </w:rPr>
        <w:t>この</w:t>
      </w:r>
      <w:r w:rsidR="00C041B3" w:rsidRPr="005F6787">
        <w:rPr>
          <w:szCs w:val="21"/>
        </w:rPr>
        <w:t>解釈論</w:t>
      </w:r>
      <w:r w:rsidRPr="005F6787">
        <w:rPr>
          <w:szCs w:val="21"/>
        </w:rPr>
        <w:t>と並んで、</w:t>
      </w:r>
      <w:r w:rsidRPr="005F6787">
        <w:rPr>
          <w:rFonts w:cs="Arial"/>
          <w:kern w:val="0"/>
          <w:szCs w:val="21"/>
        </w:rPr>
        <w:t>本決定はさらに、</w:t>
      </w:r>
      <w:r w:rsidR="00C041B3" w:rsidRPr="005F6787">
        <w:rPr>
          <w:rFonts w:cs="Times New Roman"/>
          <w:szCs w:val="21"/>
        </w:rPr>
        <w:t>データ保護法・</w:t>
      </w:r>
      <w:r w:rsidR="00C041B3" w:rsidRPr="005F6787">
        <w:rPr>
          <w:rFonts w:cs="Times New Roman"/>
          <w:szCs w:val="21"/>
        </w:rPr>
        <w:t>GDPR</w:t>
      </w:r>
      <w:r w:rsidR="00C041B3" w:rsidRPr="005F6787">
        <w:rPr>
          <w:rFonts w:cs="Times New Roman"/>
          <w:szCs w:val="21"/>
        </w:rPr>
        <w:t>と競争法・</w:t>
      </w:r>
      <w:r w:rsidR="00C041B3" w:rsidRPr="005F6787">
        <w:rPr>
          <w:rFonts w:cs="Times New Roman"/>
          <w:szCs w:val="21"/>
        </w:rPr>
        <w:t>GWB</w:t>
      </w:r>
      <w:r w:rsidR="00C041B3" w:rsidRPr="005F6787">
        <w:rPr>
          <w:rFonts w:cs="Times New Roman"/>
          <w:szCs w:val="21"/>
        </w:rPr>
        <w:t>という</w:t>
      </w:r>
      <w:r w:rsidR="00C041B3" w:rsidRPr="005F6787">
        <w:rPr>
          <w:rFonts w:cs="Times New Roman"/>
          <w:szCs w:val="21"/>
        </w:rPr>
        <w:t>2</w:t>
      </w:r>
      <w:r w:rsidR="00C041B3" w:rsidRPr="005F6787">
        <w:rPr>
          <w:rFonts w:cs="Times New Roman"/>
          <w:szCs w:val="21"/>
        </w:rPr>
        <w:t>つの法律の形式的関係についても説明を加えている。</w:t>
      </w:r>
    </w:p>
    <w:p w14:paraId="2AA63748" w14:textId="77777777" w:rsidR="00C041B3" w:rsidRPr="005F6787" w:rsidRDefault="00C041B3" w:rsidP="00C47706">
      <w:pPr>
        <w:ind w:firstLineChars="100" w:firstLine="210"/>
        <w:rPr>
          <w:szCs w:val="21"/>
        </w:rPr>
      </w:pPr>
      <w:r w:rsidRPr="005F6787">
        <w:rPr>
          <w:rFonts w:cs="Arial"/>
          <w:kern w:val="0"/>
          <w:szCs w:val="21"/>
        </w:rPr>
        <w:t>「</w:t>
      </w:r>
      <w:r w:rsidRPr="005F6787">
        <w:rPr>
          <w:rFonts w:cs="Times New Roman"/>
          <w:szCs w:val="21"/>
        </w:rPr>
        <w:t>EU</w:t>
      </w:r>
      <w:r w:rsidRPr="005F6787">
        <w:rPr>
          <w:rFonts w:cs="Times New Roman"/>
          <w:szCs w:val="21"/>
        </w:rPr>
        <w:t>とドイツのデータ保護法の規定は，管轄権のあるカルテル庁による</w:t>
      </w:r>
      <w:r w:rsidRPr="005F6787">
        <w:rPr>
          <w:rFonts w:cs="Times New Roman"/>
          <w:szCs w:val="21"/>
        </w:rPr>
        <w:t>GWB19</w:t>
      </w:r>
      <w:r w:rsidRPr="005F6787">
        <w:rPr>
          <w:rFonts w:cs="Times New Roman"/>
          <w:szCs w:val="21"/>
        </w:rPr>
        <w:t>条</w:t>
      </w:r>
      <w:r w:rsidRPr="005F6787">
        <w:rPr>
          <w:rFonts w:cs="Times New Roman"/>
          <w:szCs w:val="21"/>
        </w:rPr>
        <w:t>1</w:t>
      </w:r>
      <w:r w:rsidRPr="005F6787">
        <w:rPr>
          <w:rFonts w:cs="Times New Roman"/>
          <w:szCs w:val="21"/>
        </w:rPr>
        <w:t>項の適用において，データ保護法の評価に依拠することを排除していない。カルテル庁による決定は，</w:t>
      </w:r>
      <w:r w:rsidRPr="005F6787">
        <w:rPr>
          <w:rFonts w:cs="Times New Roman"/>
          <w:szCs w:val="21"/>
        </w:rPr>
        <w:t>GDPR</w:t>
      </w:r>
      <w:r w:rsidRPr="005F6787">
        <w:rPr>
          <w:rFonts w:cs="Times New Roman"/>
          <w:szCs w:val="21"/>
        </w:rPr>
        <w:t>の管轄権</w:t>
      </w:r>
      <w:r w:rsidR="006262A1" w:rsidRPr="005F6787">
        <w:rPr>
          <w:rFonts w:cs="Times New Roman"/>
          <w:szCs w:val="21"/>
        </w:rPr>
        <w:t>及び</w:t>
      </w:r>
      <w:r w:rsidRPr="005F6787">
        <w:rPr>
          <w:rFonts w:cs="Times New Roman"/>
          <w:szCs w:val="21"/>
        </w:rPr>
        <w:t>一貫性規定（</w:t>
      </w:r>
      <w:r w:rsidRPr="005F6787">
        <w:rPr>
          <w:rFonts w:cs="Arial"/>
          <w:kern w:val="0"/>
          <w:szCs w:val="21"/>
        </w:rPr>
        <w:t>Kohärenzregelungen</w:t>
      </w:r>
      <w:r w:rsidRPr="005F6787">
        <w:rPr>
          <w:rFonts w:cs="Arial"/>
          <w:kern w:val="0"/>
          <w:szCs w:val="21"/>
        </w:rPr>
        <w:t>）</w:t>
      </w:r>
      <w:r w:rsidRPr="005F6787">
        <w:rPr>
          <w:rFonts w:cs="Times New Roman"/>
          <w:szCs w:val="21"/>
        </w:rPr>
        <w:t>の違反にも当たらず，また、</w:t>
      </w:r>
      <w:r w:rsidRPr="005F6787">
        <w:rPr>
          <w:rFonts w:cs="Times New Roman"/>
          <w:szCs w:val="21"/>
        </w:rPr>
        <w:t>GDPR</w:t>
      </w:r>
      <w:r w:rsidRPr="005F6787">
        <w:rPr>
          <w:rFonts w:cs="Times New Roman"/>
          <w:szCs w:val="21"/>
        </w:rPr>
        <w:t>は，</w:t>
      </w:r>
      <w:r w:rsidRPr="005F6787">
        <w:rPr>
          <w:rFonts w:cs="Times New Roman"/>
          <w:szCs w:val="21"/>
        </w:rPr>
        <w:t>GWB19</w:t>
      </w:r>
      <w:r w:rsidRPr="005F6787">
        <w:rPr>
          <w:rFonts w:cs="Times New Roman"/>
          <w:szCs w:val="21"/>
        </w:rPr>
        <w:t>条に対して、実質的に遮断する（</w:t>
      </w:r>
      <w:r w:rsidRPr="005F6787">
        <w:rPr>
          <w:rFonts w:cs="Arial"/>
          <w:kern w:val="0"/>
          <w:szCs w:val="21"/>
        </w:rPr>
        <w:t>abschließende</w:t>
      </w:r>
      <w:r w:rsidRPr="005F6787">
        <w:rPr>
          <w:rFonts w:cs="Arial"/>
          <w:kern w:val="0"/>
          <w:szCs w:val="21"/>
        </w:rPr>
        <w:t>）</w:t>
      </w:r>
      <w:r w:rsidRPr="005F6787">
        <w:rPr>
          <w:rFonts w:cs="Times New Roman"/>
          <w:szCs w:val="21"/>
        </w:rPr>
        <w:t>規定を含んで</w:t>
      </w:r>
      <w:r w:rsidRPr="005F6787">
        <w:rPr>
          <w:rFonts w:cs="Times New Roman"/>
          <w:szCs w:val="21"/>
        </w:rPr>
        <w:lastRenderedPageBreak/>
        <w:t>もいない」（</w:t>
      </w:r>
      <w:r w:rsidRPr="005F6787">
        <w:rPr>
          <w:rFonts w:cs="Times New Roman"/>
          <w:szCs w:val="21"/>
        </w:rPr>
        <w:t>Rn.</w:t>
      </w:r>
      <w:r w:rsidRPr="005F6787">
        <w:rPr>
          <w:szCs w:val="21"/>
        </w:rPr>
        <w:t xml:space="preserve"> 535</w:t>
      </w:r>
      <w:r w:rsidRPr="005F6787">
        <w:rPr>
          <w:szCs w:val="21"/>
        </w:rPr>
        <w:t>）。</w:t>
      </w:r>
    </w:p>
    <w:p w14:paraId="45A38B5D" w14:textId="77777777" w:rsidR="008657EC" w:rsidRPr="005F6787" w:rsidRDefault="000203B5" w:rsidP="000203B5">
      <w:pPr>
        <w:autoSpaceDE w:val="0"/>
        <w:autoSpaceDN w:val="0"/>
        <w:adjustRightInd w:val="0"/>
        <w:ind w:firstLineChars="100" w:firstLine="210"/>
        <w:jc w:val="left"/>
        <w:rPr>
          <w:szCs w:val="21"/>
        </w:rPr>
      </w:pPr>
      <w:r w:rsidRPr="005F6787">
        <w:rPr>
          <w:rFonts w:cs="Times New Roman"/>
          <w:szCs w:val="21"/>
        </w:rPr>
        <w:t>第三に、主として政策論の次元で、</w:t>
      </w:r>
      <w:r w:rsidRPr="005F6787">
        <w:rPr>
          <w:szCs w:val="21"/>
        </w:rPr>
        <w:t>連邦カルテル庁は、</w:t>
      </w:r>
      <w:r w:rsidR="008657EC" w:rsidRPr="005F6787">
        <w:rPr>
          <w:szCs w:val="21"/>
        </w:rPr>
        <w:t>前記の</w:t>
      </w:r>
      <w:r w:rsidR="008657EC" w:rsidRPr="005F6787">
        <w:rPr>
          <w:szCs w:val="21"/>
        </w:rPr>
        <w:t>Q&amp;A</w:t>
      </w:r>
      <w:r w:rsidR="008657EC" w:rsidRPr="005F6787">
        <w:rPr>
          <w:szCs w:val="21"/>
        </w:rPr>
        <w:t>文書</w:t>
      </w:r>
      <w:r w:rsidRPr="005F6787">
        <w:rPr>
          <w:szCs w:val="21"/>
        </w:rPr>
        <w:t>において</w:t>
      </w:r>
      <w:r w:rsidR="008657EC" w:rsidRPr="005F6787">
        <w:rPr>
          <w:szCs w:val="21"/>
        </w:rPr>
        <w:t>、</w:t>
      </w:r>
      <w:r w:rsidR="00AD0958" w:rsidRPr="005F6787">
        <w:rPr>
          <w:szCs w:val="21"/>
        </w:rPr>
        <w:t>「なぜデータ保護庁の扱うべきケースではないのか」という問いに対し、</w:t>
      </w:r>
      <w:r w:rsidR="008657EC" w:rsidRPr="005F6787">
        <w:rPr>
          <w:szCs w:val="21"/>
        </w:rPr>
        <w:t>概略次のように述べている。</w:t>
      </w:r>
    </w:p>
    <w:p w14:paraId="2E265031" w14:textId="77777777" w:rsidR="00F76265" w:rsidRPr="005F6787" w:rsidRDefault="007F21C9" w:rsidP="000203B5">
      <w:pPr>
        <w:autoSpaceDE w:val="0"/>
        <w:autoSpaceDN w:val="0"/>
        <w:adjustRightInd w:val="0"/>
        <w:ind w:firstLineChars="100" w:firstLine="210"/>
        <w:jc w:val="left"/>
        <w:rPr>
          <w:szCs w:val="21"/>
        </w:rPr>
      </w:pPr>
      <w:r w:rsidRPr="005F6787">
        <w:rPr>
          <w:szCs w:val="21"/>
        </w:rPr>
        <w:t>「事業者が個人データをどう扱うかは、データ保護庁にとってのみならず、競争当局にとっても</w:t>
      </w:r>
      <w:r w:rsidR="00FC5990" w:rsidRPr="005F6787">
        <w:rPr>
          <w:szCs w:val="21"/>
        </w:rPr>
        <w:t>重要なことである。</w:t>
      </w:r>
      <w:r w:rsidR="00FC5990" w:rsidRPr="005F6787">
        <w:rPr>
          <w:szCs w:val="21"/>
        </w:rPr>
        <w:t xml:space="preserve">---- </w:t>
      </w:r>
      <w:r w:rsidR="00F76265" w:rsidRPr="005F6787">
        <w:rPr>
          <w:szCs w:val="21"/>
        </w:rPr>
        <w:t>（</w:t>
      </w:r>
      <w:r w:rsidR="00F76265" w:rsidRPr="005F6787">
        <w:rPr>
          <w:szCs w:val="21"/>
        </w:rPr>
        <w:t>GWB</w:t>
      </w:r>
      <w:r w:rsidR="00F76265" w:rsidRPr="005F6787">
        <w:rPr>
          <w:szCs w:val="21"/>
        </w:rPr>
        <w:t>の）</w:t>
      </w:r>
      <w:r w:rsidR="00FC5990" w:rsidRPr="005F6787">
        <w:rPr>
          <w:szCs w:val="21"/>
        </w:rPr>
        <w:t>立法者は、デジタル・エコノミーにおいては、データの収集と処理、関連する取引条件は、競争にとって極めて重要な企業活動を示す、ということを考慮してきた。</w:t>
      </w:r>
      <w:r w:rsidR="00F76265" w:rsidRPr="005F6787">
        <w:rPr>
          <w:szCs w:val="21"/>
        </w:rPr>
        <w:t>データへのアクセスは、殊にオンラインプラットフォームとネットワークのケースにおいて、</w:t>
      </w:r>
      <w:r w:rsidR="00F76265" w:rsidRPr="005F6787">
        <w:rPr>
          <w:szCs w:val="21"/>
        </w:rPr>
        <w:t>GWB18</w:t>
      </w:r>
      <w:r w:rsidR="00F76265" w:rsidRPr="005F6787">
        <w:rPr>
          <w:szCs w:val="21"/>
        </w:rPr>
        <w:t>条</w:t>
      </w:r>
      <w:r w:rsidR="00F76265" w:rsidRPr="005F6787">
        <w:rPr>
          <w:szCs w:val="21"/>
        </w:rPr>
        <w:t>3</w:t>
      </w:r>
      <w:r w:rsidR="00F76265" w:rsidRPr="005F6787">
        <w:rPr>
          <w:szCs w:val="21"/>
        </w:rPr>
        <w:t>項における市場支配的地位の関連ファクターとして位置づけられている。</w:t>
      </w:r>
    </w:p>
    <w:p w14:paraId="0EDF46BD" w14:textId="77777777" w:rsidR="00F76265" w:rsidRPr="005F6787" w:rsidRDefault="00F76265" w:rsidP="00B02CA5">
      <w:pPr>
        <w:autoSpaceDE w:val="0"/>
        <w:autoSpaceDN w:val="0"/>
        <w:adjustRightInd w:val="0"/>
        <w:jc w:val="left"/>
        <w:rPr>
          <w:szCs w:val="21"/>
        </w:rPr>
      </w:pPr>
      <w:r w:rsidRPr="005F6787">
        <w:rPr>
          <w:szCs w:val="21"/>
        </w:rPr>
        <w:t xml:space="preserve">　したがって、市場支配的事業者のデータ処理を監視することは、競争当局にとって重要な任務であり、データ保護庁によって遂行されるべきものではない。市場支配のケースにおいて、競争当局はデータ保護の原則</w:t>
      </w:r>
      <w:r w:rsidR="008657EC" w:rsidRPr="005F6787">
        <w:rPr>
          <w:szCs w:val="21"/>
        </w:rPr>
        <w:t>、特にデータ処理にとってどのような取引条件が前もって定められるべきか否か、</w:t>
      </w:r>
      <w:r w:rsidRPr="005F6787">
        <w:rPr>
          <w:szCs w:val="21"/>
        </w:rPr>
        <w:t>を考慮に</w:t>
      </w:r>
      <w:r w:rsidR="008657EC" w:rsidRPr="005F6787">
        <w:rPr>
          <w:szCs w:val="21"/>
        </w:rPr>
        <w:t>入れなければならない。連邦カルテル庁は、本件についてデータ保護当局と密接に協力している。」（舟田による抄訳）</w:t>
      </w:r>
    </w:p>
    <w:p w14:paraId="26A97975" w14:textId="77777777" w:rsidR="00B02CA5" w:rsidRPr="005F6787" w:rsidRDefault="00B02CA5" w:rsidP="002711B8">
      <w:pPr>
        <w:ind w:firstLineChars="100" w:firstLine="210"/>
        <w:rPr>
          <w:szCs w:val="21"/>
        </w:rPr>
      </w:pPr>
    </w:p>
    <w:p w14:paraId="4EA54B34" w14:textId="77777777" w:rsidR="002972CB" w:rsidRPr="005F6787" w:rsidRDefault="00C47706" w:rsidP="00976565">
      <w:pPr>
        <w:pStyle w:val="1"/>
        <w:rPr>
          <w:rFonts w:asciiTheme="minorHAnsi" w:eastAsiaTheme="minorEastAsia" w:hAnsiTheme="minorHAnsi"/>
          <w:b/>
          <w:sz w:val="21"/>
          <w:szCs w:val="21"/>
        </w:rPr>
      </w:pPr>
      <w:r w:rsidRPr="005F6787">
        <w:rPr>
          <w:rFonts w:ascii="ＭＳ 明朝" w:eastAsia="ＭＳ 明朝" w:hAnsi="ＭＳ 明朝" w:cs="ＭＳ 明朝" w:hint="eastAsia"/>
          <w:b/>
          <w:sz w:val="21"/>
          <w:szCs w:val="21"/>
        </w:rPr>
        <w:t>Ⅳ</w:t>
      </w:r>
      <w:r w:rsidR="002972CB" w:rsidRPr="005F6787">
        <w:rPr>
          <w:rFonts w:asciiTheme="minorHAnsi" w:eastAsiaTheme="minorEastAsia" w:hAnsiTheme="minorHAnsi"/>
          <w:b/>
          <w:sz w:val="21"/>
          <w:szCs w:val="21"/>
        </w:rPr>
        <w:t>.</w:t>
      </w:r>
      <w:r w:rsidR="002972CB" w:rsidRPr="005F6787">
        <w:rPr>
          <w:rFonts w:asciiTheme="minorHAnsi" w:eastAsiaTheme="minorEastAsia" w:hAnsiTheme="minorHAnsi"/>
          <w:b/>
          <w:sz w:val="21"/>
          <w:szCs w:val="21"/>
        </w:rPr>
        <w:t>本決定が提起した視点</w:t>
      </w:r>
    </w:p>
    <w:p w14:paraId="3642F198" w14:textId="77777777" w:rsidR="002972CB" w:rsidRPr="005F6787" w:rsidRDefault="009A0C04" w:rsidP="00C47706">
      <w:pPr>
        <w:pStyle w:val="2"/>
        <w:numPr>
          <w:ilvl w:val="0"/>
          <w:numId w:val="11"/>
        </w:numPr>
        <w:rPr>
          <w:rFonts w:asciiTheme="minorHAnsi" w:hAnsiTheme="minorHAnsi"/>
          <w:b/>
        </w:rPr>
      </w:pPr>
      <w:r w:rsidRPr="005F6787">
        <w:rPr>
          <w:rFonts w:asciiTheme="minorHAnsi" w:hAnsiTheme="minorHAnsi"/>
          <w:b/>
        </w:rPr>
        <w:t>競争</w:t>
      </w:r>
      <w:r w:rsidR="00910095" w:rsidRPr="005F6787">
        <w:rPr>
          <w:rFonts w:asciiTheme="minorHAnsi" w:hAnsiTheme="minorHAnsi"/>
          <w:b/>
        </w:rPr>
        <w:t>法</w:t>
      </w:r>
      <w:r w:rsidR="002972CB" w:rsidRPr="005F6787">
        <w:rPr>
          <w:rFonts w:asciiTheme="minorHAnsi" w:hAnsiTheme="minorHAnsi"/>
          <w:b/>
        </w:rPr>
        <w:t>固有の解釈問題</w:t>
      </w:r>
    </w:p>
    <w:p w14:paraId="413B16AE" w14:textId="77777777" w:rsidR="002972CB" w:rsidRPr="005F6787" w:rsidRDefault="002972CB" w:rsidP="00F603D7">
      <w:pPr>
        <w:rPr>
          <w:rFonts w:cs="Times New Roman"/>
          <w:szCs w:val="21"/>
        </w:rPr>
      </w:pPr>
      <w:r w:rsidRPr="005F6787">
        <w:rPr>
          <w:szCs w:val="21"/>
        </w:rPr>
        <w:t xml:space="preserve">  </w:t>
      </w:r>
      <w:r w:rsidRPr="005F6787">
        <w:rPr>
          <w:szCs w:val="21"/>
        </w:rPr>
        <w:t>本稿でこれまで見てきたように、本決定は、</w:t>
      </w:r>
      <w:r w:rsidRPr="005F6787">
        <w:rPr>
          <w:rFonts w:ascii="ＭＳ 明朝" w:eastAsia="ＭＳ 明朝" w:hAnsi="ＭＳ 明朝" w:cs="ＭＳ 明朝" w:hint="eastAsia"/>
          <w:szCs w:val="21"/>
        </w:rPr>
        <w:t>①</w:t>
      </w:r>
      <w:r w:rsidRPr="005F6787">
        <w:rPr>
          <w:szCs w:val="21"/>
        </w:rPr>
        <w:t xml:space="preserve"> </w:t>
      </w:r>
      <w:r w:rsidRPr="005F6787">
        <w:rPr>
          <w:rFonts w:cs="Times New Roman"/>
          <w:szCs w:val="21"/>
        </w:rPr>
        <w:t>無料市場における行為に対し</w:t>
      </w:r>
      <w:r w:rsidRPr="005F6787">
        <w:rPr>
          <w:rFonts w:cs="Times New Roman"/>
          <w:szCs w:val="21"/>
        </w:rPr>
        <w:t>GWB</w:t>
      </w:r>
      <w:r w:rsidRPr="005F6787">
        <w:rPr>
          <w:rFonts w:cs="Times New Roman"/>
          <w:szCs w:val="21"/>
        </w:rPr>
        <w:t>を適用すべきこと、そこにおける市場の画定、市場支配的地位の認定、などについて、詳細な議論を展開している。</w:t>
      </w:r>
    </w:p>
    <w:p w14:paraId="12E1EF79" w14:textId="77777777" w:rsidR="002972CB" w:rsidRPr="005F6787" w:rsidRDefault="002972CB" w:rsidP="00F603D7">
      <w:pPr>
        <w:rPr>
          <w:rFonts w:cs="Times New Roman"/>
          <w:szCs w:val="21"/>
        </w:rPr>
      </w:pPr>
      <w:r w:rsidRPr="005F6787">
        <w:rPr>
          <w:rFonts w:cs="Times New Roman"/>
          <w:szCs w:val="21"/>
        </w:rPr>
        <w:t xml:space="preserve">　また、本決定が</w:t>
      </w:r>
      <w:r w:rsidR="005B3949" w:rsidRPr="005F6787">
        <w:rPr>
          <w:rFonts w:cs="Times New Roman"/>
          <w:szCs w:val="21"/>
        </w:rPr>
        <w:t>示した</w:t>
      </w:r>
      <w:r w:rsidRPr="005F6787">
        <w:rPr>
          <w:rFonts w:cs="Times New Roman"/>
          <w:szCs w:val="21"/>
        </w:rPr>
        <w:t>、</w:t>
      </w:r>
      <w:r w:rsidRPr="005F6787">
        <w:rPr>
          <w:rFonts w:cs="Times New Roman"/>
          <w:szCs w:val="21"/>
        </w:rPr>
        <w:t>FB</w:t>
      </w:r>
      <w:r w:rsidRPr="005F6787">
        <w:rPr>
          <w:rFonts w:cs="Times New Roman"/>
          <w:szCs w:val="21"/>
        </w:rPr>
        <w:t>の個人データに関する「</w:t>
      </w:r>
      <w:r w:rsidRPr="005F6787">
        <w:rPr>
          <w:szCs w:val="21"/>
        </w:rPr>
        <w:t>取り決めとその実施は、本件の場合、</w:t>
      </w:r>
      <w:r w:rsidRPr="005F6787">
        <w:rPr>
          <w:szCs w:val="21"/>
        </w:rPr>
        <w:t>FB</w:t>
      </w:r>
      <w:r w:rsidRPr="005F6787">
        <w:rPr>
          <w:szCs w:val="21"/>
        </w:rPr>
        <w:t>の特別な市場力の表出（</w:t>
      </w:r>
      <w:r w:rsidRPr="005F6787">
        <w:rPr>
          <w:rFonts w:cs="Arial"/>
          <w:kern w:val="0"/>
          <w:szCs w:val="21"/>
        </w:rPr>
        <w:t>Ausfluss</w:t>
      </w:r>
      <w:r w:rsidRPr="005F6787">
        <w:rPr>
          <w:szCs w:val="21"/>
        </w:rPr>
        <w:t>)</w:t>
      </w:r>
      <w:r w:rsidRPr="005F6787">
        <w:rPr>
          <w:szCs w:val="21"/>
        </w:rPr>
        <w:t>であり、これに基づいて競争侵害的な結論が導かれる」（</w:t>
      </w:r>
      <w:r w:rsidRPr="005F6787">
        <w:rPr>
          <w:szCs w:val="21"/>
        </w:rPr>
        <w:t>Rn.523.</w:t>
      </w:r>
      <w:r w:rsidRPr="005F6787">
        <w:rPr>
          <w:szCs w:val="21"/>
        </w:rPr>
        <w:t>）という点は、濫用規制の対象となる</w:t>
      </w:r>
      <w:r w:rsidR="005B3949" w:rsidRPr="005F6787">
        <w:rPr>
          <w:szCs w:val="21"/>
        </w:rPr>
        <w:t>競争法上の評価</w:t>
      </w:r>
      <w:r w:rsidRPr="005F6787">
        <w:rPr>
          <w:szCs w:val="21"/>
        </w:rPr>
        <w:t>と性格付けであり、本稿では</w:t>
      </w:r>
      <w:r w:rsidR="005B3949" w:rsidRPr="005F6787">
        <w:rPr>
          <w:szCs w:val="21"/>
        </w:rPr>
        <w:t>詳しく</w:t>
      </w:r>
      <w:r w:rsidRPr="005F6787">
        <w:rPr>
          <w:szCs w:val="21"/>
        </w:rPr>
        <w:t>検討できなかったが、</w:t>
      </w:r>
      <w:r w:rsidR="003E37FC" w:rsidRPr="005F6787">
        <w:rPr>
          <w:szCs w:val="21"/>
        </w:rPr>
        <w:t>競争</w:t>
      </w:r>
      <w:r w:rsidR="00910095" w:rsidRPr="005F6787">
        <w:rPr>
          <w:szCs w:val="21"/>
        </w:rPr>
        <w:t>法</w:t>
      </w:r>
      <w:r w:rsidRPr="005F6787">
        <w:rPr>
          <w:szCs w:val="21"/>
        </w:rPr>
        <w:t>の中心的論点である。</w:t>
      </w:r>
    </w:p>
    <w:p w14:paraId="00ACBBC5" w14:textId="68315A72" w:rsidR="002972CB" w:rsidRPr="005F6787" w:rsidRDefault="002972CB" w:rsidP="00F603D7">
      <w:pPr>
        <w:ind w:firstLineChars="100" w:firstLine="210"/>
        <w:rPr>
          <w:szCs w:val="21"/>
        </w:rPr>
      </w:pPr>
      <w:r w:rsidRPr="005F6787">
        <w:rPr>
          <w:szCs w:val="21"/>
        </w:rPr>
        <w:t>さらに、本決定は、</w:t>
      </w:r>
      <w:r w:rsidRPr="005F6787">
        <w:rPr>
          <w:rFonts w:ascii="ＭＳ 明朝" w:eastAsia="ＭＳ 明朝" w:hAnsi="ＭＳ 明朝" w:cs="ＭＳ 明朝" w:hint="eastAsia"/>
          <w:szCs w:val="21"/>
        </w:rPr>
        <w:t>②</w:t>
      </w:r>
      <w:r w:rsidRPr="005F6787">
        <w:rPr>
          <w:szCs w:val="21"/>
        </w:rPr>
        <w:t xml:space="preserve"> </w:t>
      </w:r>
      <w:r w:rsidRPr="005F6787">
        <w:rPr>
          <w:szCs w:val="21"/>
        </w:rPr>
        <w:t>搾取</w:t>
      </w:r>
      <w:r w:rsidR="00967D5F" w:rsidRPr="005F6787">
        <w:rPr>
          <w:szCs w:val="21"/>
        </w:rPr>
        <w:t>的</w:t>
      </w:r>
      <w:r w:rsidRPr="005F6787">
        <w:rPr>
          <w:szCs w:val="21"/>
        </w:rPr>
        <w:t>濫用のうちの価格濫用と条件濫用の違いを踏まえて、</w:t>
      </w:r>
      <w:r w:rsidRPr="005F6787">
        <w:rPr>
          <w:szCs w:val="21"/>
        </w:rPr>
        <w:t>GDPR</w:t>
      </w:r>
      <w:r w:rsidRPr="005F6787">
        <w:rPr>
          <w:szCs w:val="21"/>
        </w:rPr>
        <w:t>違反または民法</w:t>
      </w:r>
      <w:r w:rsidRPr="005F6787">
        <w:rPr>
          <w:szCs w:val="21"/>
        </w:rPr>
        <w:t>307</w:t>
      </w:r>
      <w:r w:rsidRPr="005F6787">
        <w:rPr>
          <w:szCs w:val="21"/>
        </w:rPr>
        <w:t>条以下の法的評価によって、基本権保護が要請される場合であって、かつ当該行為が市場力の表出として認められる場合に、条件濫用に当たる、という解釈論をとった（本稿では、これを「</w:t>
      </w:r>
      <w:r w:rsidRPr="005F6787">
        <w:rPr>
          <w:szCs w:val="21"/>
        </w:rPr>
        <w:t>2</w:t>
      </w:r>
      <w:r w:rsidRPr="005F6787">
        <w:rPr>
          <w:szCs w:val="21"/>
        </w:rPr>
        <w:t>重の評価」と呼んだ）。</w:t>
      </w:r>
    </w:p>
    <w:p w14:paraId="7DAC1AA0" w14:textId="77777777" w:rsidR="002972CB" w:rsidRPr="005F6787" w:rsidRDefault="002972CB" w:rsidP="00F603D7">
      <w:pPr>
        <w:rPr>
          <w:rFonts w:cs="ＭＳ 明朝"/>
          <w:kern w:val="0"/>
          <w:szCs w:val="21"/>
        </w:rPr>
      </w:pPr>
      <w:r w:rsidRPr="005F6787">
        <w:rPr>
          <w:szCs w:val="21"/>
        </w:rPr>
        <w:t xml:space="preserve">　このうちの前者（基本権保護）については、</w:t>
      </w:r>
      <w:r w:rsidRPr="005F6787">
        <w:rPr>
          <w:rFonts w:ascii="ＭＳ 明朝" w:eastAsia="ＭＳ 明朝" w:hAnsi="ＭＳ 明朝" w:cs="ＭＳ 明朝" w:hint="eastAsia"/>
          <w:szCs w:val="21"/>
        </w:rPr>
        <w:t>③</w:t>
      </w:r>
      <w:r w:rsidRPr="005F6787">
        <w:rPr>
          <w:szCs w:val="21"/>
        </w:rPr>
        <w:t xml:space="preserve"> </w:t>
      </w:r>
      <w:r w:rsidRPr="005F6787">
        <w:rPr>
          <w:szCs w:val="21"/>
        </w:rPr>
        <w:t>行為者（</w:t>
      </w:r>
      <w:r w:rsidRPr="005F6787">
        <w:rPr>
          <w:szCs w:val="21"/>
        </w:rPr>
        <w:t>FB</w:t>
      </w:r>
      <w:r w:rsidRPr="005F6787">
        <w:rPr>
          <w:szCs w:val="21"/>
        </w:rPr>
        <w:t>）と取引の相手方</w:t>
      </w:r>
      <w:r w:rsidRPr="005F6787">
        <w:rPr>
          <w:szCs w:val="21"/>
        </w:rPr>
        <w:t>(</w:t>
      </w:r>
      <w:r w:rsidRPr="005F6787">
        <w:rPr>
          <w:szCs w:val="21"/>
        </w:rPr>
        <w:t>個人ユーザー</w:t>
      </w:r>
      <w:r w:rsidRPr="005F6787">
        <w:rPr>
          <w:szCs w:val="21"/>
        </w:rPr>
        <w:t>)</w:t>
      </w:r>
      <w:r w:rsidRPr="005F6787">
        <w:rPr>
          <w:szCs w:val="21"/>
        </w:rPr>
        <w:t>の間の「</w:t>
      </w:r>
      <w:r w:rsidRPr="005F6787">
        <w:rPr>
          <w:rFonts w:cs="ＭＳ 明朝"/>
          <w:kern w:val="0"/>
          <w:szCs w:val="21"/>
        </w:rPr>
        <w:t>利益衡量」によって判断されるのが原則であるが、</w:t>
      </w:r>
      <w:r w:rsidR="00DF4610" w:rsidRPr="005F6787">
        <w:rPr>
          <w:rFonts w:cs="ＭＳ 明朝"/>
          <w:kern w:val="0"/>
          <w:szCs w:val="21"/>
        </w:rPr>
        <w:t>価格濫用のケースと異なり、条件濫用のケースにおいて、</w:t>
      </w:r>
      <w:r w:rsidRPr="005F6787">
        <w:rPr>
          <w:szCs w:val="21"/>
        </w:rPr>
        <w:t>GDPR</w:t>
      </w:r>
      <w:r w:rsidRPr="005F6787">
        <w:rPr>
          <w:szCs w:val="21"/>
        </w:rPr>
        <w:t>や民法の価値的評価から不当とされる場合には、「</w:t>
      </w:r>
      <w:r w:rsidRPr="005F6787">
        <w:rPr>
          <w:rFonts w:cs="Times New Roman"/>
          <w:szCs w:val="21"/>
        </w:rPr>
        <w:t>GWB</w:t>
      </w:r>
      <w:r w:rsidRPr="005F6787">
        <w:rPr>
          <w:rFonts w:cs="Times New Roman"/>
          <w:szCs w:val="21"/>
        </w:rPr>
        <w:t>の競争の自由という目的の考慮の下で」、この</w:t>
      </w:r>
      <w:r w:rsidRPr="005F6787">
        <w:rPr>
          <w:rFonts w:cs="ＭＳ 明朝"/>
          <w:kern w:val="0"/>
          <w:szCs w:val="21"/>
        </w:rPr>
        <w:t>利益衡量は不要とされた。</w:t>
      </w:r>
    </w:p>
    <w:p w14:paraId="4E8676D1" w14:textId="77777777" w:rsidR="002972CB" w:rsidRPr="005F6787" w:rsidRDefault="002972CB" w:rsidP="00F603D7">
      <w:pPr>
        <w:rPr>
          <w:szCs w:val="21"/>
        </w:rPr>
      </w:pPr>
      <w:r w:rsidRPr="005F6787">
        <w:rPr>
          <w:rFonts w:cs="ＭＳ 明朝"/>
          <w:kern w:val="0"/>
          <w:szCs w:val="21"/>
        </w:rPr>
        <w:t xml:space="preserve">　上の</w:t>
      </w:r>
      <w:r w:rsidRPr="005F6787">
        <w:rPr>
          <w:rFonts w:ascii="ＭＳ 明朝" w:eastAsia="ＭＳ 明朝" w:hAnsi="ＭＳ 明朝" w:cs="ＭＳ 明朝" w:hint="eastAsia"/>
          <w:szCs w:val="21"/>
        </w:rPr>
        <w:t>①</w:t>
      </w:r>
      <w:r w:rsidRPr="005F6787">
        <w:rPr>
          <w:szCs w:val="21"/>
        </w:rPr>
        <w:t>から</w:t>
      </w:r>
      <w:r w:rsidRPr="005F6787">
        <w:rPr>
          <w:rFonts w:ascii="ＭＳ 明朝" w:eastAsia="ＭＳ 明朝" w:hAnsi="ＭＳ 明朝" w:cs="ＭＳ 明朝" w:hint="eastAsia"/>
          <w:szCs w:val="21"/>
        </w:rPr>
        <w:t>③</w:t>
      </w:r>
      <w:r w:rsidRPr="005F6787">
        <w:rPr>
          <w:szCs w:val="21"/>
        </w:rPr>
        <w:t>までの</w:t>
      </w:r>
      <w:r w:rsidRPr="005F6787">
        <w:rPr>
          <w:rFonts w:cs="ＭＳ 明朝"/>
          <w:kern w:val="0"/>
          <w:szCs w:val="21"/>
        </w:rPr>
        <w:t>諸点のうち、</w:t>
      </w:r>
      <w:r w:rsidRPr="005F6787">
        <w:rPr>
          <w:rFonts w:ascii="ＭＳ 明朝" w:eastAsia="ＭＳ 明朝" w:hAnsi="ＭＳ 明朝" w:cs="ＭＳ 明朝" w:hint="eastAsia"/>
          <w:szCs w:val="21"/>
        </w:rPr>
        <w:t>①</w:t>
      </w:r>
      <w:r w:rsidRPr="005F6787">
        <w:rPr>
          <w:szCs w:val="21"/>
        </w:rPr>
        <w:t>は</w:t>
      </w:r>
      <w:r w:rsidR="003E37FC" w:rsidRPr="005F6787">
        <w:rPr>
          <w:szCs w:val="21"/>
        </w:rPr>
        <w:t>競争</w:t>
      </w:r>
      <w:r w:rsidR="00910095" w:rsidRPr="005F6787">
        <w:rPr>
          <w:szCs w:val="21"/>
        </w:rPr>
        <w:t>法</w:t>
      </w:r>
      <w:r w:rsidRPr="005F6787">
        <w:rPr>
          <w:szCs w:val="21"/>
        </w:rPr>
        <w:t>のいわば普遍的な問題として参考になる。これに対し、</w:t>
      </w:r>
      <w:r w:rsidRPr="005F6787">
        <w:rPr>
          <w:rFonts w:ascii="ＭＳ 明朝" w:eastAsia="ＭＳ 明朝" w:hAnsi="ＭＳ 明朝" w:cs="ＭＳ 明朝" w:hint="eastAsia"/>
          <w:szCs w:val="21"/>
        </w:rPr>
        <w:t>②</w:t>
      </w:r>
      <w:r w:rsidRPr="005F6787">
        <w:rPr>
          <w:szCs w:val="21"/>
        </w:rPr>
        <w:t>と</w:t>
      </w:r>
      <w:r w:rsidRPr="005F6787">
        <w:rPr>
          <w:rFonts w:ascii="ＭＳ 明朝" w:eastAsia="ＭＳ 明朝" w:hAnsi="ＭＳ 明朝" w:cs="ＭＳ 明朝" w:hint="eastAsia"/>
          <w:szCs w:val="21"/>
        </w:rPr>
        <w:t>③</w:t>
      </w:r>
      <w:r w:rsidRPr="005F6787">
        <w:rPr>
          <w:szCs w:val="21"/>
        </w:rPr>
        <w:t>については、ドイツ</w:t>
      </w:r>
      <w:r w:rsidRPr="005F6787">
        <w:rPr>
          <w:szCs w:val="21"/>
        </w:rPr>
        <w:t>GWB</w:t>
      </w:r>
      <w:r w:rsidRPr="005F6787">
        <w:rPr>
          <w:szCs w:val="21"/>
        </w:rPr>
        <w:t>特有の条件濫用論から生まれたもののように思われる。その特殊性と普遍的発展への可能性について、次に述べる。</w:t>
      </w:r>
    </w:p>
    <w:p w14:paraId="17891DB3" w14:textId="77777777" w:rsidR="002972CB" w:rsidRPr="005F6787" w:rsidRDefault="002972CB" w:rsidP="00320694">
      <w:pPr>
        <w:rPr>
          <w:b/>
          <w:szCs w:val="21"/>
        </w:rPr>
      </w:pPr>
    </w:p>
    <w:p w14:paraId="0245137A" w14:textId="77777777" w:rsidR="002972CB" w:rsidRPr="005F6787" w:rsidRDefault="00933BAF" w:rsidP="00933BAF">
      <w:pPr>
        <w:pStyle w:val="2"/>
        <w:rPr>
          <w:rFonts w:asciiTheme="minorHAnsi" w:hAnsiTheme="minorHAnsi"/>
          <w:b/>
        </w:rPr>
      </w:pPr>
      <w:r w:rsidRPr="005F6787">
        <w:rPr>
          <w:rFonts w:asciiTheme="minorHAnsi" w:hAnsiTheme="minorHAnsi"/>
          <w:b/>
        </w:rPr>
        <w:t>2.</w:t>
      </w:r>
      <w:r w:rsidR="002972CB" w:rsidRPr="005F6787">
        <w:rPr>
          <w:rFonts w:asciiTheme="minorHAnsi" w:hAnsiTheme="minorHAnsi"/>
          <w:b/>
        </w:rPr>
        <w:t xml:space="preserve"> </w:t>
      </w:r>
      <w:r w:rsidR="002972CB" w:rsidRPr="005F6787">
        <w:rPr>
          <w:rFonts w:asciiTheme="minorHAnsi" w:hAnsiTheme="minorHAnsi"/>
          <w:b/>
        </w:rPr>
        <w:t>競争法の目的としての基本権保護</w:t>
      </w:r>
    </w:p>
    <w:p w14:paraId="2F08F2AF" w14:textId="77777777" w:rsidR="002972CB" w:rsidRPr="005F6787" w:rsidRDefault="002972CB" w:rsidP="00582801">
      <w:pPr>
        <w:ind w:firstLineChars="100" w:firstLine="210"/>
        <w:rPr>
          <w:szCs w:val="21"/>
        </w:rPr>
      </w:pPr>
      <w:r w:rsidRPr="005F6787">
        <w:rPr>
          <w:szCs w:val="21"/>
        </w:rPr>
        <w:t>本決定は、データ保護違反と競争法違反を結びつけ、「濫用」とした初めての判断である。おそらく世界各国の競争法の中で、このような解釈を示した事例はこれまでなかったと思われる。</w:t>
      </w:r>
    </w:p>
    <w:p w14:paraId="0552E25F" w14:textId="77777777" w:rsidR="002972CB" w:rsidRPr="005F6787" w:rsidRDefault="00042C70" w:rsidP="00582801">
      <w:pPr>
        <w:ind w:firstLineChars="100" w:firstLine="210"/>
        <w:rPr>
          <w:szCs w:val="21"/>
        </w:rPr>
      </w:pPr>
      <w:r w:rsidRPr="005F6787">
        <w:rPr>
          <w:szCs w:val="21"/>
        </w:rPr>
        <w:t>本決定は、ドイツ・</w:t>
      </w:r>
      <w:r w:rsidR="002972CB" w:rsidRPr="005F6787">
        <w:rPr>
          <w:szCs w:val="21"/>
        </w:rPr>
        <w:t>EU</w:t>
      </w:r>
      <w:r w:rsidR="002972CB" w:rsidRPr="005F6787">
        <w:rPr>
          <w:szCs w:val="21"/>
        </w:rPr>
        <w:t>の特殊厳格なデータ保護法の捉え方ないし価値判断に基づいており、日本の現行の個人情報保護法と独禁法を前提とする限り、直接参考となるものではないという見方もあり得よう</w:t>
      </w:r>
      <w:r w:rsidR="002972CB" w:rsidRPr="005F6787">
        <w:rPr>
          <w:rStyle w:val="ad"/>
          <w:szCs w:val="21"/>
        </w:rPr>
        <w:footnoteReference w:id="41"/>
      </w:r>
      <w:r w:rsidR="002972CB" w:rsidRPr="005F6787">
        <w:rPr>
          <w:szCs w:val="21"/>
        </w:rPr>
        <w:t>。</w:t>
      </w:r>
    </w:p>
    <w:p w14:paraId="57C302DE" w14:textId="77777777" w:rsidR="002972CB" w:rsidRPr="005F6787" w:rsidRDefault="002972CB" w:rsidP="00457771">
      <w:pPr>
        <w:ind w:firstLineChars="100" w:firstLine="210"/>
        <w:rPr>
          <w:szCs w:val="21"/>
        </w:rPr>
      </w:pPr>
      <w:r w:rsidRPr="005F6787">
        <w:rPr>
          <w:szCs w:val="21"/>
        </w:rPr>
        <w:t>しかし、競争法はある種の普遍的価値の保護・実現を目的とするものであり、それは競争秩序の維持</w:t>
      </w:r>
      <w:r w:rsidR="00042C70" w:rsidRPr="005F6787">
        <w:rPr>
          <w:szCs w:val="21"/>
        </w:rPr>
        <w:t>、</w:t>
      </w:r>
      <w:r w:rsidR="006262A1" w:rsidRPr="005F6787">
        <w:rPr>
          <w:szCs w:val="21"/>
        </w:rPr>
        <w:t>及び</w:t>
      </w:r>
      <w:r w:rsidR="00042C70" w:rsidRPr="005F6787">
        <w:rPr>
          <w:szCs w:val="21"/>
        </w:rPr>
        <w:t>、</w:t>
      </w:r>
      <w:r w:rsidRPr="005F6787">
        <w:rPr>
          <w:szCs w:val="21"/>
        </w:rPr>
        <w:t>各経済主体（事業者と消費者）</w:t>
      </w:r>
      <w:r w:rsidR="00042C70" w:rsidRPr="005F6787">
        <w:rPr>
          <w:szCs w:val="21"/>
        </w:rPr>
        <w:t>の経済的自由ないし自己決定権（本件事案では情報自己決定権）の保護で</w:t>
      </w:r>
      <w:r w:rsidRPr="005F6787">
        <w:rPr>
          <w:szCs w:val="21"/>
        </w:rPr>
        <w:t>あ</w:t>
      </w:r>
      <w:r w:rsidR="00933BAF" w:rsidRPr="005F6787">
        <w:rPr>
          <w:szCs w:val="21"/>
        </w:rPr>
        <w:t>る。</w:t>
      </w:r>
      <w:r w:rsidRPr="005F6787">
        <w:rPr>
          <w:szCs w:val="21"/>
        </w:rPr>
        <w:t>日本の独禁法も、これら両者</w:t>
      </w:r>
      <w:r w:rsidR="00933BAF" w:rsidRPr="005F6787">
        <w:rPr>
          <w:szCs w:val="21"/>
        </w:rPr>
        <w:t>（競争秩序と各経済主体</w:t>
      </w:r>
      <w:r w:rsidRPr="005F6787">
        <w:rPr>
          <w:szCs w:val="21"/>
        </w:rPr>
        <w:t>の</w:t>
      </w:r>
      <w:r w:rsidR="00933BAF" w:rsidRPr="005F6787">
        <w:rPr>
          <w:szCs w:val="21"/>
        </w:rPr>
        <w:t>自由）の保護という</w:t>
      </w:r>
      <w:r w:rsidRPr="005F6787">
        <w:rPr>
          <w:szCs w:val="21"/>
        </w:rPr>
        <w:t>価値的立場を内在させていると考えられる</w:t>
      </w:r>
      <w:r w:rsidRPr="005F6787">
        <w:rPr>
          <w:rStyle w:val="ad"/>
          <w:szCs w:val="21"/>
        </w:rPr>
        <w:footnoteReference w:id="42"/>
      </w:r>
      <w:r w:rsidRPr="005F6787">
        <w:rPr>
          <w:szCs w:val="21"/>
        </w:rPr>
        <w:t>。</w:t>
      </w:r>
    </w:p>
    <w:p w14:paraId="6F51ECDE" w14:textId="77777777" w:rsidR="002972CB" w:rsidRPr="005F6787" w:rsidRDefault="002972CB" w:rsidP="00320694">
      <w:pPr>
        <w:ind w:firstLineChars="100" w:firstLine="210"/>
        <w:rPr>
          <w:szCs w:val="21"/>
        </w:rPr>
      </w:pPr>
    </w:p>
    <w:p w14:paraId="34F8E1E8" w14:textId="77777777" w:rsidR="002972CB" w:rsidRPr="005F6787" w:rsidRDefault="00933BAF" w:rsidP="00933BAF">
      <w:pPr>
        <w:pStyle w:val="2"/>
        <w:rPr>
          <w:rFonts w:asciiTheme="minorHAnsi" w:hAnsiTheme="minorHAnsi"/>
          <w:b/>
        </w:rPr>
      </w:pPr>
      <w:r w:rsidRPr="005F6787">
        <w:rPr>
          <w:rFonts w:asciiTheme="minorHAnsi" w:hAnsiTheme="minorHAnsi"/>
          <w:b/>
        </w:rPr>
        <w:t xml:space="preserve">3. </w:t>
      </w:r>
      <w:r w:rsidR="002972CB" w:rsidRPr="005F6787">
        <w:rPr>
          <w:rFonts w:asciiTheme="minorHAnsi" w:hAnsiTheme="minorHAnsi"/>
          <w:b/>
        </w:rPr>
        <w:t>個人情報保護法と競争法の価値的関係</w:t>
      </w:r>
    </w:p>
    <w:p w14:paraId="4AFF526E" w14:textId="77777777" w:rsidR="002972CB" w:rsidRPr="005F6787" w:rsidRDefault="002972CB" w:rsidP="00866A77">
      <w:pPr>
        <w:ind w:firstLineChars="100" w:firstLine="210"/>
        <w:rPr>
          <w:szCs w:val="21"/>
        </w:rPr>
      </w:pPr>
      <w:r w:rsidRPr="005F6787">
        <w:rPr>
          <w:szCs w:val="21"/>
        </w:rPr>
        <w:t>GDPR</w:t>
      </w:r>
      <w:r w:rsidRPr="005F6787">
        <w:rPr>
          <w:szCs w:val="21"/>
        </w:rPr>
        <w:t>あるいは日本の個人情報保護法と競争法の価値的関係については、これまでほとんど論じられてこなかったし</w:t>
      </w:r>
      <w:r w:rsidRPr="005F6787">
        <w:rPr>
          <w:rStyle w:val="ad"/>
          <w:szCs w:val="21"/>
        </w:rPr>
        <w:footnoteReference w:id="43"/>
      </w:r>
      <w:r w:rsidRPr="005F6787">
        <w:rPr>
          <w:szCs w:val="21"/>
        </w:rPr>
        <w:t>、また、本決定は「搾取濫用」という日本にはないタイプの違法類型についての事件であり、その特有の問題であるという面もある。</w:t>
      </w:r>
    </w:p>
    <w:p w14:paraId="400A14F0" w14:textId="13C3EBF1" w:rsidR="00B55CFB" w:rsidRPr="005F6787" w:rsidRDefault="00B120CB" w:rsidP="00320694">
      <w:pPr>
        <w:ind w:firstLineChars="100" w:firstLine="210"/>
        <w:rPr>
          <w:szCs w:val="21"/>
        </w:rPr>
      </w:pPr>
      <w:r w:rsidRPr="005F6787">
        <w:rPr>
          <w:szCs w:val="21"/>
        </w:rPr>
        <w:t>しかし、独禁法における優越的地位の濫用は、ドイツ</w:t>
      </w:r>
      <w:r w:rsidRPr="005F6787">
        <w:rPr>
          <w:szCs w:val="21"/>
        </w:rPr>
        <w:t>GWB</w:t>
      </w:r>
      <w:r w:rsidRPr="005F6787">
        <w:rPr>
          <w:szCs w:val="21"/>
        </w:rPr>
        <w:t>上の搾取</w:t>
      </w:r>
      <w:r w:rsidR="00967D5F" w:rsidRPr="005F6787">
        <w:rPr>
          <w:szCs w:val="21"/>
        </w:rPr>
        <w:t>的</w:t>
      </w:r>
      <w:r w:rsidRPr="005F6787">
        <w:rPr>
          <w:szCs w:val="21"/>
        </w:rPr>
        <w:t>濫用と共通する性格を有する。優越的地位の濫用の要件である、「不当に」、「取引の相手方に不利益となるように取引の条件を設定し</w:t>
      </w:r>
      <w:r w:rsidRPr="005F6787">
        <w:rPr>
          <w:szCs w:val="21"/>
        </w:rPr>
        <w:t>---</w:t>
      </w:r>
      <w:r w:rsidRPr="005F6787">
        <w:rPr>
          <w:szCs w:val="21"/>
        </w:rPr>
        <w:t>」の解釈において、本決定を参考にして、個人情報保護法・民法・憲法の法目的ないし保護法益の共通性・関連性を考慮する可能性もあるように思われる</w:t>
      </w:r>
      <w:r w:rsidR="002972CB" w:rsidRPr="005F6787">
        <w:rPr>
          <w:rStyle w:val="ad"/>
          <w:szCs w:val="21"/>
        </w:rPr>
        <w:footnoteReference w:id="44"/>
      </w:r>
      <w:r w:rsidR="002972CB" w:rsidRPr="005F6787">
        <w:rPr>
          <w:szCs w:val="21"/>
        </w:rPr>
        <w:t>。</w:t>
      </w:r>
    </w:p>
    <w:p w14:paraId="5DD1FFE5" w14:textId="77777777" w:rsidR="00D421DE" w:rsidRPr="005F6787" w:rsidRDefault="00D421DE" w:rsidP="00320694">
      <w:pPr>
        <w:rPr>
          <w:szCs w:val="21"/>
        </w:rPr>
      </w:pPr>
      <w:bookmarkStart w:id="19" w:name="_Hlk58749074"/>
    </w:p>
    <w:p w14:paraId="5C52E3AF" w14:textId="400751CB" w:rsidR="00866A77" w:rsidRPr="005F6787" w:rsidRDefault="00E351C1" w:rsidP="00E351C1">
      <w:pPr>
        <w:pStyle w:val="2"/>
        <w:rPr>
          <w:rFonts w:asciiTheme="minorHAnsi" w:hAnsiTheme="minorHAnsi"/>
          <w:b/>
        </w:rPr>
      </w:pPr>
      <w:r w:rsidRPr="005F6787">
        <w:rPr>
          <w:rFonts w:asciiTheme="minorHAnsi" w:hAnsiTheme="minorHAnsi"/>
          <w:b/>
        </w:rPr>
        <w:t xml:space="preserve">4. </w:t>
      </w:r>
      <w:r w:rsidR="00A06781" w:rsidRPr="005F6787">
        <w:rPr>
          <w:rFonts w:asciiTheme="minorHAnsi" w:hAnsiTheme="minorHAnsi"/>
          <w:b/>
        </w:rPr>
        <w:t>因果関係</w:t>
      </w:r>
    </w:p>
    <w:p w14:paraId="0B98E5BF" w14:textId="456AF1B2" w:rsidR="007E73C4" w:rsidRPr="005F6787" w:rsidRDefault="00967D5F" w:rsidP="00967D5F">
      <w:pPr>
        <w:rPr>
          <w:rFonts w:eastAsia="ＭＳ 明朝" w:cs="ＭＳ Ｐゴシック"/>
          <w:kern w:val="0"/>
          <w:szCs w:val="21"/>
        </w:rPr>
      </w:pPr>
      <w:r w:rsidRPr="005F6787">
        <w:rPr>
          <w:rFonts w:eastAsia="ＭＳ 明朝" w:cs="ＭＳ Ｐゴシック"/>
          <w:kern w:val="0"/>
          <w:szCs w:val="21"/>
        </w:rPr>
        <w:t xml:space="preserve">(1) </w:t>
      </w:r>
      <w:r w:rsidR="007E73C4" w:rsidRPr="005F6787">
        <w:rPr>
          <w:rFonts w:eastAsia="ＭＳ 明朝" w:cs="ＭＳ Ｐゴシック"/>
          <w:kern w:val="0"/>
          <w:szCs w:val="21"/>
        </w:rPr>
        <w:t>FB</w:t>
      </w:r>
      <w:r w:rsidR="007E73C4" w:rsidRPr="005F6787">
        <w:rPr>
          <w:rFonts w:eastAsia="ＭＳ 明朝" w:cs="ＭＳ Ｐゴシック"/>
          <w:kern w:val="0"/>
          <w:szCs w:val="21"/>
        </w:rPr>
        <w:t>は、本件決定の取消し、および、そこに含まれていた即時執行命令の取消しを求めて提訴し</w:t>
      </w:r>
      <w:r w:rsidR="005916C2" w:rsidRPr="005F6787">
        <w:rPr>
          <w:rFonts w:eastAsia="ＭＳ 明朝" w:cs="ＭＳ Ｐゴシック"/>
          <w:kern w:val="0"/>
          <w:szCs w:val="21"/>
        </w:rPr>
        <w:t>た。このうち</w:t>
      </w:r>
      <w:r w:rsidR="007E73C4" w:rsidRPr="005F6787">
        <w:rPr>
          <w:rFonts w:eastAsia="ＭＳ 明朝" w:cs="ＭＳ Ｐゴシック"/>
          <w:kern w:val="0"/>
          <w:szCs w:val="21"/>
        </w:rPr>
        <w:t>後者につき、デュッセルドルフ控訴裁判所</w:t>
      </w:r>
      <w:r w:rsidR="007E73C4" w:rsidRPr="005F6787">
        <w:rPr>
          <w:rFonts w:eastAsia="ＭＳ Ｐゴシック" w:cs="Times New Roman"/>
          <w:kern w:val="0"/>
          <w:szCs w:val="21"/>
        </w:rPr>
        <w:t>2019</w:t>
      </w:r>
      <w:r w:rsidR="007E73C4" w:rsidRPr="005F6787">
        <w:rPr>
          <w:rFonts w:eastAsia="ＭＳ 明朝" w:cs="ＭＳ Ｐゴシック"/>
          <w:kern w:val="0"/>
          <w:szCs w:val="21"/>
        </w:rPr>
        <w:t>年</w:t>
      </w:r>
      <w:r w:rsidR="007E73C4" w:rsidRPr="005F6787">
        <w:rPr>
          <w:rFonts w:eastAsia="ＭＳ Ｐゴシック" w:cs="Times New Roman"/>
          <w:kern w:val="0"/>
          <w:szCs w:val="21"/>
        </w:rPr>
        <w:t>8</w:t>
      </w:r>
      <w:r w:rsidR="007E73C4" w:rsidRPr="005F6787">
        <w:rPr>
          <w:rFonts w:eastAsia="ＭＳ 明朝" w:cs="ＭＳ Ｐゴシック"/>
          <w:kern w:val="0"/>
          <w:szCs w:val="21"/>
        </w:rPr>
        <w:t>月</w:t>
      </w:r>
      <w:r w:rsidR="007E73C4" w:rsidRPr="005F6787">
        <w:rPr>
          <w:rFonts w:eastAsia="ＭＳ Ｐゴシック" w:cs="Times New Roman"/>
          <w:kern w:val="0"/>
          <w:szCs w:val="21"/>
        </w:rPr>
        <w:t>26</w:t>
      </w:r>
      <w:r w:rsidR="007E73C4" w:rsidRPr="005F6787">
        <w:rPr>
          <w:rFonts w:eastAsia="ＭＳ 明朝" w:cs="ＭＳ Ｐゴシック"/>
          <w:kern w:val="0"/>
          <w:szCs w:val="21"/>
        </w:rPr>
        <w:t>日決定は、</w:t>
      </w:r>
      <w:r w:rsidR="005916C2" w:rsidRPr="005F6787">
        <w:rPr>
          <w:rFonts w:eastAsia="ＭＳ 明朝" w:cs="ＭＳ Ｐゴシック"/>
          <w:kern w:val="0"/>
          <w:szCs w:val="21"/>
        </w:rPr>
        <w:t>FB</w:t>
      </w:r>
      <w:r w:rsidR="005916C2" w:rsidRPr="005F6787">
        <w:rPr>
          <w:rFonts w:eastAsia="ＭＳ 明朝" w:cs="ＭＳ Ｐゴシック"/>
          <w:kern w:val="0"/>
          <w:szCs w:val="21"/>
        </w:rPr>
        <w:t>の</w:t>
      </w:r>
      <w:r w:rsidR="007E73C4" w:rsidRPr="005F6787">
        <w:rPr>
          <w:szCs w:val="21"/>
        </w:rPr>
        <w:t>申立てを認容したが、</w:t>
      </w:r>
      <w:r w:rsidR="007E73C4" w:rsidRPr="005F6787">
        <w:rPr>
          <w:rFonts w:eastAsia="ＭＳ 明朝" w:cs="ＭＳ Ｐゴシック"/>
          <w:kern w:val="0"/>
          <w:szCs w:val="21"/>
        </w:rPr>
        <w:t>連邦</w:t>
      </w:r>
      <w:r w:rsidR="005916C2" w:rsidRPr="005F6787">
        <w:rPr>
          <w:rFonts w:eastAsia="ＭＳ 明朝" w:cs="ＭＳ Ｐゴシック"/>
          <w:kern w:val="0"/>
          <w:szCs w:val="21"/>
        </w:rPr>
        <w:t>通常</w:t>
      </w:r>
      <w:r w:rsidR="007E73C4" w:rsidRPr="005F6787">
        <w:rPr>
          <w:rFonts w:eastAsia="ＭＳ 明朝" w:cs="ＭＳ Ｐゴシック"/>
          <w:kern w:val="0"/>
          <w:szCs w:val="21"/>
        </w:rPr>
        <w:t>裁判所は、</w:t>
      </w:r>
      <w:r w:rsidR="007E73C4" w:rsidRPr="005F6787">
        <w:rPr>
          <w:rFonts w:eastAsia="ＭＳ 明朝" w:cs="ＭＳ Ｐゴシック"/>
          <w:kern w:val="0"/>
          <w:szCs w:val="21"/>
        </w:rPr>
        <w:t>2020</w:t>
      </w:r>
      <w:r w:rsidR="007E73C4" w:rsidRPr="005F6787">
        <w:rPr>
          <w:rFonts w:eastAsia="ＭＳ 明朝" w:cs="ＭＳ Ｐゴシック"/>
          <w:kern w:val="0"/>
          <w:szCs w:val="21"/>
        </w:rPr>
        <w:t>年</w:t>
      </w:r>
      <w:r w:rsidR="007E73C4" w:rsidRPr="005F6787">
        <w:rPr>
          <w:rFonts w:eastAsia="ＭＳ 明朝" w:cs="ＭＳ Ｐゴシック"/>
          <w:kern w:val="0"/>
          <w:szCs w:val="21"/>
        </w:rPr>
        <w:t>6</w:t>
      </w:r>
      <w:r w:rsidR="007E73C4" w:rsidRPr="005F6787">
        <w:rPr>
          <w:rFonts w:eastAsia="ＭＳ 明朝" w:cs="ＭＳ Ｐゴシック"/>
          <w:kern w:val="0"/>
          <w:szCs w:val="21"/>
        </w:rPr>
        <w:t>月</w:t>
      </w:r>
      <w:r w:rsidR="007E73C4" w:rsidRPr="005F6787">
        <w:rPr>
          <w:rFonts w:eastAsia="ＭＳ 明朝" w:cs="ＭＳ Ｐゴシック"/>
          <w:kern w:val="0"/>
          <w:szCs w:val="21"/>
        </w:rPr>
        <w:t>23</w:t>
      </w:r>
      <w:r w:rsidR="007E73C4" w:rsidRPr="005F6787">
        <w:rPr>
          <w:rFonts w:eastAsia="ＭＳ 明朝" w:cs="ＭＳ Ｐゴシック"/>
          <w:kern w:val="0"/>
          <w:szCs w:val="21"/>
        </w:rPr>
        <w:t>日決定において、この高裁</w:t>
      </w:r>
      <w:r w:rsidR="007E73C4" w:rsidRPr="005F6787">
        <w:rPr>
          <w:rFonts w:eastAsia="ＭＳ 明朝" w:cs="ＭＳ Ｐゴシック"/>
          <w:kern w:val="0"/>
          <w:szCs w:val="21"/>
        </w:rPr>
        <w:lastRenderedPageBreak/>
        <w:t>決定を棄却した</w:t>
      </w:r>
      <w:r w:rsidR="00823699" w:rsidRPr="005F6787">
        <w:rPr>
          <w:rStyle w:val="ad"/>
          <w:rFonts w:eastAsia="ＭＳ 明朝" w:cs="ＭＳ Ｐゴシック"/>
          <w:kern w:val="0"/>
          <w:szCs w:val="21"/>
        </w:rPr>
        <w:footnoteReference w:id="45"/>
      </w:r>
      <w:r w:rsidR="007E73C4" w:rsidRPr="005F6787">
        <w:rPr>
          <w:rFonts w:eastAsia="ＭＳ 明朝" w:cs="ＭＳ Ｐゴシック"/>
          <w:kern w:val="0"/>
          <w:szCs w:val="21"/>
        </w:rPr>
        <w:t>。</w:t>
      </w:r>
    </w:p>
    <w:p w14:paraId="79FD5384" w14:textId="33FC1E16" w:rsidR="007E73C4" w:rsidRPr="005F6787" w:rsidRDefault="007E73C4" w:rsidP="007E73C4">
      <w:pPr>
        <w:ind w:firstLineChars="100" w:firstLine="210"/>
        <w:rPr>
          <w:rFonts w:cs="ＭＳ 明朝"/>
          <w:kern w:val="0"/>
          <w:szCs w:val="21"/>
        </w:rPr>
      </w:pPr>
      <w:r w:rsidRPr="005F6787">
        <w:rPr>
          <w:rFonts w:eastAsia="ＭＳ 明朝" w:cs="ＭＳ Ｐゴシック"/>
          <w:kern w:val="0"/>
          <w:szCs w:val="21"/>
        </w:rPr>
        <w:t>この過程で最も争われたのは、</w:t>
      </w:r>
      <w:r w:rsidRPr="005F6787">
        <w:rPr>
          <w:rFonts w:cs="ＭＳ 明朝"/>
          <w:kern w:val="0"/>
          <w:szCs w:val="21"/>
        </w:rPr>
        <w:t>市場支配と違反行為の間の因果関係であり、</w:t>
      </w:r>
      <w:r w:rsidRPr="005F6787">
        <w:rPr>
          <w:rFonts w:cs="ＭＳ 明朝"/>
          <w:kern w:val="0"/>
          <w:szCs w:val="21"/>
        </w:rPr>
        <w:t>FB</w:t>
      </w:r>
      <w:r w:rsidRPr="005F6787">
        <w:rPr>
          <w:rFonts w:cs="ＭＳ 明朝"/>
          <w:kern w:val="0"/>
          <w:szCs w:val="21"/>
        </w:rPr>
        <w:t>は、本件行為として挙げられた、個人データの</w:t>
      </w:r>
      <w:r w:rsidRPr="005F6787">
        <w:rPr>
          <w:rFonts w:cs="Times New Roman"/>
          <w:szCs w:val="21"/>
        </w:rPr>
        <w:t>利用条件の使用とその実施は、市場支配的事業者でなくとも可能であり、実際に</w:t>
      </w:r>
      <w:r w:rsidR="0047698C" w:rsidRPr="005F6787">
        <w:rPr>
          <w:rFonts w:cs="Times New Roman"/>
          <w:szCs w:val="21"/>
        </w:rPr>
        <w:t>他の事業者によっても</w:t>
      </w:r>
      <w:r w:rsidRPr="005F6787">
        <w:rPr>
          <w:rFonts w:cs="Times New Roman"/>
          <w:szCs w:val="21"/>
        </w:rPr>
        <w:t>行われている</w:t>
      </w:r>
      <w:r w:rsidR="005916C2" w:rsidRPr="005F6787">
        <w:rPr>
          <w:rFonts w:cs="Times New Roman"/>
          <w:szCs w:val="21"/>
        </w:rPr>
        <w:t>のだから</w:t>
      </w:r>
      <w:r w:rsidR="00967D5F" w:rsidRPr="005F6787">
        <w:rPr>
          <w:rFonts w:cs="ＭＳ 明朝"/>
          <w:kern w:val="0"/>
          <w:szCs w:val="21"/>
        </w:rPr>
        <w:t>因果関係</w:t>
      </w:r>
      <w:r w:rsidR="005916C2" w:rsidRPr="005F6787">
        <w:rPr>
          <w:rFonts w:cs="ＭＳ 明朝"/>
          <w:kern w:val="0"/>
          <w:szCs w:val="21"/>
        </w:rPr>
        <w:t>が認められないと主張</w:t>
      </w:r>
      <w:r w:rsidR="00967D5F" w:rsidRPr="005F6787">
        <w:rPr>
          <w:rFonts w:cs="ＭＳ 明朝"/>
          <w:kern w:val="0"/>
          <w:szCs w:val="21"/>
        </w:rPr>
        <w:t>した。</w:t>
      </w:r>
    </w:p>
    <w:p w14:paraId="4B9F8207" w14:textId="77777777" w:rsidR="00967D5F" w:rsidRPr="005F6787" w:rsidRDefault="00967D5F" w:rsidP="007E73C4">
      <w:pPr>
        <w:ind w:firstLineChars="100" w:firstLine="210"/>
      </w:pPr>
    </w:p>
    <w:p w14:paraId="4841BA74" w14:textId="50DACB26" w:rsidR="00A06781" w:rsidRPr="005F6787" w:rsidRDefault="00967D5F" w:rsidP="00967D5F">
      <w:pPr>
        <w:rPr>
          <w:szCs w:val="21"/>
        </w:rPr>
      </w:pPr>
      <w:r w:rsidRPr="005F6787">
        <w:rPr>
          <w:szCs w:val="21"/>
        </w:rPr>
        <w:t xml:space="preserve">(2) </w:t>
      </w:r>
      <w:r w:rsidRPr="005F6787">
        <w:rPr>
          <w:szCs w:val="21"/>
        </w:rPr>
        <w:t>これに対し、</w:t>
      </w:r>
      <w:r w:rsidR="005916C2" w:rsidRPr="005F6787">
        <w:rPr>
          <w:szCs w:val="21"/>
        </w:rPr>
        <w:t>連邦カルテル庁による</w:t>
      </w:r>
      <w:r w:rsidR="00A06781" w:rsidRPr="005F6787">
        <w:rPr>
          <w:szCs w:val="21"/>
        </w:rPr>
        <w:t>本決定は、これまでの</w:t>
      </w:r>
      <w:r w:rsidR="00A06781" w:rsidRPr="005F6787">
        <w:rPr>
          <w:rFonts w:cs="ＭＳ 明朝"/>
          <w:kern w:val="0"/>
          <w:szCs w:val="21"/>
        </w:rPr>
        <w:t>判例によれば、違反行為が、市場支配が存在する場合のみ可能で、同じ市場の他の競争事業者には全くできない行為であるといったような意味での</w:t>
      </w:r>
      <w:r w:rsidRPr="005F6787">
        <w:rPr>
          <w:rFonts w:cs="ＭＳ 明朝"/>
          <w:kern w:val="0"/>
          <w:szCs w:val="21"/>
        </w:rPr>
        <w:t>「</w:t>
      </w:r>
      <w:r w:rsidR="00A06781" w:rsidRPr="005F6787">
        <w:rPr>
          <w:rFonts w:cs="ＭＳ 明朝"/>
          <w:kern w:val="0"/>
          <w:szCs w:val="21"/>
        </w:rPr>
        <w:t>行為的因果関係</w:t>
      </w:r>
      <w:r w:rsidRPr="005F6787">
        <w:rPr>
          <w:rFonts w:cs="ＭＳ 明朝"/>
          <w:kern w:val="0"/>
          <w:szCs w:val="21"/>
        </w:rPr>
        <w:t>」</w:t>
      </w:r>
      <w:r w:rsidRPr="005F6787">
        <w:rPr>
          <w:sz w:val="23"/>
          <w:szCs w:val="23"/>
        </w:rPr>
        <w:t>(Verhaltenskausalität)</w:t>
      </w:r>
      <w:r w:rsidR="00A06781" w:rsidRPr="005F6787">
        <w:rPr>
          <w:rFonts w:cs="ＭＳ 明朝"/>
          <w:kern w:val="0"/>
          <w:szCs w:val="21"/>
        </w:rPr>
        <w:t>は必要とされず、規範的因果関係</w:t>
      </w:r>
      <w:r w:rsidRPr="005F6787">
        <w:rPr>
          <w:szCs w:val="21"/>
        </w:rPr>
        <w:t>（</w:t>
      </w:r>
      <w:r w:rsidRPr="005F6787">
        <w:rPr>
          <w:szCs w:val="21"/>
        </w:rPr>
        <w:t>normative Kausalit</w:t>
      </w:r>
      <w:hyperlink r:id="rId12" w:anchor="#" w:history="1">
        <w:r w:rsidRPr="005F6787">
          <w:rPr>
            <w:rStyle w:val="a3"/>
            <w:color w:val="auto"/>
            <w:szCs w:val="21"/>
          </w:rPr>
          <w:t>ä</w:t>
        </w:r>
      </w:hyperlink>
      <w:r w:rsidRPr="005F6787">
        <w:rPr>
          <w:szCs w:val="21"/>
        </w:rPr>
        <w:t>t</w:t>
      </w:r>
      <w:r w:rsidRPr="005F6787">
        <w:rPr>
          <w:szCs w:val="21"/>
        </w:rPr>
        <w:t>）</w:t>
      </w:r>
      <w:r w:rsidRPr="005F6787">
        <w:rPr>
          <w:rFonts w:cs="ＭＳ 明朝"/>
          <w:kern w:val="0"/>
          <w:szCs w:val="21"/>
        </w:rPr>
        <w:t>また</w:t>
      </w:r>
      <w:r w:rsidR="00A06781" w:rsidRPr="005F6787">
        <w:rPr>
          <w:rFonts w:cs="ＭＳ 明朝"/>
          <w:kern w:val="0"/>
          <w:szCs w:val="21"/>
        </w:rPr>
        <w:t>は結果的因果関係</w:t>
      </w:r>
      <w:r w:rsidRPr="005F6787">
        <w:rPr>
          <w:rFonts w:cs="ＭＳ 明朝"/>
          <w:kern w:val="0"/>
          <w:szCs w:val="21"/>
        </w:rPr>
        <w:t>（</w:t>
      </w:r>
      <w:r w:rsidRPr="005F6787">
        <w:rPr>
          <w:sz w:val="23"/>
          <w:szCs w:val="23"/>
        </w:rPr>
        <w:t>Ergebniskausalität</w:t>
      </w:r>
      <w:r w:rsidRPr="005F6787">
        <w:rPr>
          <w:sz w:val="23"/>
          <w:szCs w:val="23"/>
        </w:rPr>
        <w:t>）</w:t>
      </w:r>
      <w:r w:rsidR="00A06781" w:rsidRPr="005F6787">
        <w:rPr>
          <w:rFonts w:cs="ＭＳ 明朝"/>
          <w:kern w:val="0"/>
          <w:szCs w:val="21"/>
        </w:rPr>
        <w:t>で十分であり、本件では</w:t>
      </w:r>
      <w:r w:rsidR="00A06781" w:rsidRPr="005F6787">
        <w:rPr>
          <w:rFonts w:cs="ＭＳ 明朝"/>
          <w:kern w:val="0"/>
          <w:szCs w:val="21"/>
        </w:rPr>
        <w:t>FB</w:t>
      </w:r>
      <w:r w:rsidR="00A06781" w:rsidRPr="005F6787">
        <w:rPr>
          <w:rFonts w:cs="ＭＳ 明朝"/>
          <w:kern w:val="0"/>
          <w:szCs w:val="21"/>
        </w:rPr>
        <w:t>の市場支配的地位と搾取</w:t>
      </w:r>
      <w:r w:rsidRPr="005F6787">
        <w:rPr>
          <w:rFonts w:cs="ＭＳ 明朝"/>
          <w:kern w:val="0"/>
          <w:szCs w:val="21"/>
        </w:rPr>
        <w:t>的</w:t>
      </w:r>
      <w:r w:rsidR="00A06781" w:rsidRPr="005F6787">
        <w:rPr>
          <w:rFonts w:cs="ＭＳ 明朝"/>
          <w:kern w:val="0"/>
          <w:szCs w:val="21"/>
        </w:rPr>
        <w:t>濫用</w:t>
      </w:r>
      <w:r w:rsidRPr="005F6787">
        <w:rPr>
          <w:rFonts w:cs="ＭＳ 明朝"/>
          <w:kern w:val="0"/>
          <w:szCs w:val="21"/>
        </w:rPr>
        <w:t>行為</w:t>
      </w:r>
      <w:r w:rsidR="00A06781" w:rsidRPr="005F6787">
        <w:rPr>
          <w:rFonts w:cs="ＭＳ 明朝"/>
          <w:kern w:val="0"/>
          <w:szCs w:val="21"/>
        </w:rPr>
        <w:t>の間に、これら両方の因果関係が認められる、とした</w:t>
      </w:r>
      <w:r w:rsidR="00A06781" w:rsidRPr="005F6787">
        <w:rPr>
          <w:szCs w:val="21"/>
        </w:rPr>
        <w:t>（</w:t>
      </w:r>
      <w:r w:rsidR="00A06781" w:rsidRPr="005F6787">
        <w:rPr>
          <w:szCs w:val="21"/>
        </w:rPr>
        <w:t>Rn.872</w:t>
      </w:r>
      <w:r w:rsidR="00A06781" w:rsidRPr="005F6787">
        <w:rPr>
          <w:szCs w:val="21"/>
        </w:rPr>
        <w:t>以下）</w:t>
      </w:r>
      <w:r w:rsidR="00A06781" w:rsidRPr="005F6787">
        <w:rPr>
          <w:rFonts w:cs="ＭＳ 明朝"/>
          <w:kern w:val="0"/>
          <w:szCs w:val="21"/>
        </w:rPr>
        <w:t>。また、</w:t>
      </w:r>
      <w:r w:rsidR="00A06781" w:rsidRPr="005F6787">
        <w:rPr>
          <w:szCs w:val="21"/>
        </w:rPr>
        <w:t>競争者妨害という点</w:t>
      </w:r>
      <w:r w:rsidR="0047698C" w:rsidRPr="005F6787">
        <w:rPr>
          <w:szCs w:val="21"/>
        </w:rPr>
        <w:t>において</w:t>
      </w:r>
      <w:r w:rsidR="00A06781" w:rsidRPr="005F6787">
        <w:rPr>
          <w:szCs w:val="21"/>
        </w:rPr>
        <w:t>は、「</w:t>
      </w:r>
      <w:r w:rsidR="00A06781" w:rsidRPr="005F6787">
        <w:rPr>
          <w:rFonts w:cs="Times New Roman"/>
          <w:szCs w:val="21"/>
        </w:rPr>
        <w:t>規範的因果関係」のみならず、「結果的因果関係」も認められると</w:t>
      </w:r>
      <w:r w:rsidR="00A06781" w:rsidRPr="005F6787">
        <w:rPr>
          <w:szCs w:val="21"/>
        </w:rPr>
        <w:t>している（</w:t>
      </w:r>
      <w:r w:rsidR="00A06781" w:rsidRPr="005F6787">
        <w:rPr>
          <w:szCs w:val="21"/>
        </w:rPr>
        <w:t>Rn. 885</w:t>
      </w:r>
      <w:r w:rsidR="00A06781" w:rsidRPr="005F6787">
        <w:rPr>
          <w:szCs w:val="21"/>
        </w:rPr>
        <w:t>）。</w:t>
      </w:r>
    </w:p>
    <w:p w14:paraId="1C9AC24B" w14:textId="77777777" w:rsidR="00A06781" w:rsidRPr="005F6787" w:rsidRDefault="00A06781" w:rsidP="00A06781">
      <w:pPr>
        <w:widowControl/>
        <w:shd w:val="clear" w:color="auto" w:fill="FFFFFF"/>
        <w:ind w:firstLine="210"/>
        <w:jc w:val="left"/>
        <w:rPr>
          <w:rFonts w:cs="Times New Roman"/>
        </w:rPr>
      </w:pPr>
    </w:p>
    <w:p w14:paraId="5269C38E" w14:textId="09AD7401" w:rsidR="001C0F4F" w:rsidRPr="005F6787" w:rsidRDefault="0047698C" w:rsidP="0047698C">
      <w:pPr>
        <w:widowControl/>
        <w:shd w:val="clear" w:color="auto" w:fill="FFFFFF"/>
        <w:rPr>
          <w:rFonts w:eastAsia="ＭＳ Ｐゴシック" w:cs="ＭＳ Ｐゴシック"/>
          <w:kern w:val="0"/>
          <w:szCs w:val="21"/>
        </w:rPr>
      </w:pPr>
      <w:r w:rsidRPr="005F6787">
        <w:rPr>
          <w:rFonts w:eastAsia="ＭＳ 明朝" w:cs="ＭＳ Ｐゴシック"/>
          <w:kern w:val="0"/>
          <w:szCs w:val="21"/>
        </w:rPr>
        <w:t xml:space="preserve">(3) </w:t>
      </w:r>
      <w:r w:rsidR="00FE0BF4" w:rsidRPr="005F6787">
        <w:rPr>
          <w:rFonts w:eastAsia="ＭＳ 明朝" w:cs="ＭＳ Ｐゴシック"/>
          <w:kern w:val="0"/>
          <w:szCs w:val="21"/>
        </w:rPr>
        <w:t>前記</w:t>
      </w:r>
      <w:r w:rsidR="001C0F4F" w:rsidRPr="005F6787">
        <w:rPr>
          <w:rFonts w:eastAsia="ＭＳ 明朝" w:cs="ＭＳ Ｐゴシック"/>
          <w:kern w:val="0"/>
          <w:szCs w:val="21"/>
        </w:rPr>
        <w:t>デュッセルドルフ控訴裁判所</w:t>
      </w:r>
      <w:r w:rsidR="001C0F4F" w:rsidRPr="005F6787">
        <w:rPr>
          <w:rFonts w:eastAsia="ＭＳ Ｐゴシック" w:cs="Times New Roman"/>
          <w:kern w:val="0"/>
          <w:szCs w:val="21"/>
        </w:rPr>
        <w:t>2019</w:t>
      </w:r>
      <w:r w:rsidR="001C0F4F" w:rsidRPr="005F6787">
        <w:rPr>
          <w:rFonts w:eastAsia="ＭＳ 明朝" w:cs="ＭＳ Ｐゴシック"/>
          <w:kern w:val="0"/>
          <w:szCs w:val="21"/>
        </w:rPr>
        <w:t>年</w:t>
      </w:r>
      <w:r w:rsidR="001C0F4F" w:rsidRPr="005F6787">
        <w:rPr>
          <w:rFonts w:eastAsia="ＭＳ Ｐゴシック" w:cs="Times New Roman"/>
          <w:kern w:val="0"/>
          <w:szCs w:val="21"/>
        </w:rPr>
        <w:t>8</w:t>
      </w:r>
      <w:r w:rsidR="001C0F4F" w:rsidRPr="005F6787">
        <w:rPr>
          <w:rFonts w:eastAsia="ＭＳ 明朝" w:cs="ＭＳ Ｐゴシック"/>
          <w:kern w:val="0"/>
          <w:szCs w:val="21"/>
        </w:rPr>
        <w:t>月</w:t>
      </w:r>
      <w:r w:rsidR="001C0F4F" w:rsidRPr="005F6787">
        <w:rPr>
          <w:rFonts w:eastAsia="ＭＳ Ｐゴシック" w:cs="Times New Roman"/>
          <w:kern w:val="0"/>
          <w:szCs w:val="21"/>
        </w:rPr>
        <w:t>26</w:t>
      </w:r>
      <w:r w:rsidR="001C0F4F" w:rsidRPr="005F6787">
        <w:rPr>
          <w:rFonts w:eastAsia="ＭＳ 明朝" w:cs="ＭＳ Ｐゴシック"/>
          <w:kern w:val="0"/>
          <w:szCs w:val="21"/>
        </w:rPr>
        <w:t>日決定は、</w:t>
      </w:r>
      <w:r w:rsidR="00FE0BF4" w:rsidRPr="005F6787">
        <w:rPr>
          <w:szCs w:val="21"/>
        </w:rPr>
        <w:t>連邦</w:t>
      </w:r>
      <w:r w:rsidRPr="005F6787">
        <w:rPr>
          <w:rFonts w:eastAsia="ＭＳ 明朝" w:cs="ＭＳ Ｐゴシック"/>
          <w:kern w:val="0"/>
          <w:szCs w:val="21"/>
        </w:rPr>
        <w:t>カルテル庁の</w:t>
      </w:r>
      <w:r w:rsidR="00813332" w:rsidRPr="005F6787">
        <w:rPr>
          <w:szCs w:val="21"/>
        </w:rPr>
        <w:t>本決定</w:t>
      </w:r>
      <w:r w:rsidRPr="005F6787">
        <w:rPr>
          <w:szCs w:val="21"/>
        </w:rPr>
        <w:t>を違法とし、</w:t>
      </w:r>
      <w:r w:rsidRPr="005F6787">
        <w:rPr>
          <w:rFonts w:eastAsia="ＭＳ 明朝" w:cs="ＭＳ Ｐゴシック"/>
          <w:kern w:val="0"/>
          <w:szCs w:val="21"/>
        </w:rPr>
        <w:t>即時執行命令を取り消した</w:t>
      </w:r>
      <w:r w:rsidR="001C0F4F" w:rsidRPr="005F6787">
        <w:rPr>
          <w:rFonts w:eastAsia="ＭＳ 明朝" w:cs="ＭＳ Ｐゴシック"/>
          <w:kern w:val="0"/>
          <w:szCs w:val="21"/>
        </w:rPr>
        <w:t>。</w:t>
      </w:r>
      <w:r w:rsidR="001C0F4F" w:rsidRPr="005F6787">
        <w:rPr>
          <w:rFonts w:eastAsia="ＭＳ Ｐゴシック" w:cs="Times New Roman"/>
          <w:kern w:val="0"/>
          <w:szCs w:val="21"/>
        </w:rPr>
        <w:t>GWB65</w:t>
      </w:r>
      <w:r w:rsidR="001C0F4F" w:rsidRPr="005F6787">
        <w:rPr>
          <w:rFonts w:eastAsia="ＭＳ 明朝" w:cs="ＭＳ Ｐゴシック"/>
          <w:kern w:val="0"/>
          <w:szCs w:val="21"/>
        </w:rPr>
        <w:t>条は、次の場合には、</w:t>
      </w:r>
      <w:r w:rsidR="00813332" w:rsidRPr="005F6787">
        <w:rPr>
          <w:rFonts w:eastAsia="ＭＳ 明朝" w:cs="ＭＳ Ｐゴシック"/>
          <w:kern w:val="0"/>
          <w:szCs w:val="21"/>
        </w:rPr>
        <w:t>申立に基づき、</w:t>
      </w:r>
      <w:r w:rsidR="001C0F4F" w:rsidRPr="005F6787">
        <w:rPr>
          <w:rFonts w:eastAsia="ＭＳ 明朝" w:cs="ＭＳ Ｐゴシック"/>
          <w:kern w:val="0"/>
          <w:szCs w:val="21"/>
        </w:rPr>
        <w:t>即時執行命令を全部又は一部回復（＝取消す）ことができることができる、とし、その</w:t>
      </w:r>
      <w:r w:rsidR="001C0F4F" w:rsidRPr="005F6787">
        <w:rPr>
          <w:rFonts w:eastAsia="ＭＳ Ｐゴシック" w:cs="ＭＳ Ｐゴシック"/>
          <w:kern w:val="0"/>
          <w:szCs w:val="21"/>
        </w:rPr>
        <w:t>2</w:t>
      </w:r>
      <w:r w:rsidR="001C0F4F" w:rsidRPr="005F6787">
        <w:rPr>
          <w:rFonts w:eastAsia="ＭＳ 明朝" w:cs="ＭＳ Ｐゴシック"/>
          <w:kern w:val="0"/>
          <w:szCs w:val="21"/>
        </w:rPr>
        <w:t>号に、「命じられた処分に重大な疑義（</w:t>
      </w:r>
      <w:r w:rsidR="001C0F4F" w:rsidRPr="005F6787">
        <w:rPr>
          <w:rFonts w:eastAsia="ＭＳ Ｐゴシック" w:cs="ＭＳ Ｐゴシック"/>
          <w:kern w:val="0"/>
          <w:szCs w:val="21"/>
        </w:rPr>
        <w:t>ernstliche Zweifel</w:t>
      </w:r>
      <w:r w:rsidR="001C0F4F" w:rsidRPr="005F6787">
        <w:rPr>
          <w:rFonts w:eastAsia="ＭＳ 明朝" w:cs="ＭＳ Ｐゴシック"/>
          <w:kern w:val="0"/>
          <w:szCs w:val="21"/>
        </w:rPr>
        <w:t>）があるとき」と定めて</w:t>
      </w:r>
      <w:r w:rsidR="00813332" w:rsidRPr="005F6787">
        <w:rPr>
          <w:rFonts w:eastAsia="ＭＳ 明朝" w:cs="ＭＳ Ｐゴシック"/>
          <w:kern w:val="0"/>
          <w:szCs w:val="21"/>
        </w:rPr>
        <w:t>おり、本件はこの場合に当たるとしたのである</w:t>
      </w:r>
      <w:r w:rsidR="001C0F4F" w:rsidRPr="005F6787">
        <w:rPr>
          <w:rFonts w:eastAsia="ＭＳ 明朝" w:cs="ＭＳ Ｐゴシック"/>
          <w:kern w:val="0"/>
          <w:szCs w:val="21"/>
        </w:rPr>
        <w:t>。</w:t>
      </w:r>
    </w:p>
    <w:p w14:paraId="211083B0" w14:textId="279C97CA" w:rsidR="00216B76" w:rsidRPr="005F6787" w:rsidRDefault="00813332" w:rsidP="00755354">
      <w:pPr>
        <w:widowControl/>
        <w:shd w:val="clear" w:color="auto" w:fill="FFFFFF"/>
        <w:ind w:firstLine="210"/>
        <w:jc w:val="left"/>
        <w:rPr>
          <w:rFonts w:eastAsia="ＭＳ 明朝" w:cs="ＭＳ Ｐゴシック"/>
          <w:kern w:val="0"/>
          <w:szCs w:val="21"/>
        </w:rPr>
      </w:pPr>
      <w:r w:rsidRPr="005F6787">
        <w:rPr>
          <w:rFonts w:eastAsia="ＭＳ 明朝" w:cs="ＭＳ Ｐゴシック"/>
          <w:kern w:val="0"/>
          <w:szCs w:val="21"/>
        </w:rPr>
        <w:t>そこでは</w:t>
      </w:r>
      <w:r w:rsidR="001C0F4F" w:rsidRPr="005F6787">
        <w:rPr>
          <w:rFonts w:eastAsia="ＭＳ 明朝" w:cs="ＭＳ Ｐゴシック"/>
          <w:kern w:val="0"/>
          <w:szCs w:val="21"/>
        </w:rPr>
        <w:t>、「カルテル庁が肯定する</w:t>
      </w:r>
      <w:r w:rsidR="001C0F4F" w:rsidRPr="005F6787">
        <w:rPr>
          <w:rFonts w:eastAsia="ＭＳ Ｐゴシック" w:cs="ＭＳ Ｐゴシック"/>
          <w:kern w:val="0"/>
          <w:szCs w:val="21"/>
        </w:rPr>
        <w:t>FB</w:t>
      </w:r>
      <w:r w:rsidR="001C0F4F" w:rsidRPr="005F6787">
        <w:rPr>
          <w:rFonts w:eastAsia="ＭＳ 明朝" w:cs="ＭＳ Ｐゴシック"/>
          <w:kern w:val="0"/>
          <w:szCs w:val="21"/>
        </w:rPr>
        <w:t>の市場支配的地位と同庁が認定するデータ保護法違反との間に、必要な因果関係は認定できない」、</w:t>
      </w:r>
      <w:r w:rsidR="00FE0BF4" w:rsidRPr="005F6787">
        <w:rPr>
          <w:rFonts w:eastAsia="ＭＳ 明朝" w:cs="ＭＳ Ｐゴシック"/>
          <w:kern w:val="0"/>
          <w:szCs w:val="21"/>
        </w:rPr>
        <w:t>「</w:t>
      </w:r>
      <w:r w:rsidR="001C0F4F" w:rsidRPr="005F6787">
        <w:rPr>
          <w:rFonts w:eastAsia="ＭＳ 明朝" w:cs="ＭＳ Ｐゴシック"/>
          <w:kern w:val="0"/>
          <w:szCs w:val="21"/>
        </w:rPr>
        <w:t>市場支配的事業者の支配力とその濫用行為、または少なくともその行動の侵害的影響との因果関係」の立証が不十分である、と</w:t>
      </w:r>
      <w:r w:rsidRPr="005F6787">
        <w:rPr>
          <w:rFonts w:eastAsia="ＭＳ 明朝" w:cs="ＭＳ Ｐゴシック"/>
          <w:kern w:val="0"/>
          <w:szCs w:val="21"/>
        </w:rPr>
        <w:t>された</w:t>
      </w:r>
      <w:r w:rsidR="001C0F4F" w:rsidRPr="005F6787">
        <w:rPr>
          <w:rFonts w:eastAsia="ＭＳ 明朝" w:cs="ＭＳ Ｐゴシック"/>
          <w:kern w:val="0"/>
          <w:szCs w:val="21"/>
        </w:rPr>
        <w:t>。</w:t>
      </w:r>
    </w:p>
    <w:p w14:paraId="0047CB62" w14:textId="77777777" w:rsidR="0047698C" w:rsidRPr="005F6787" w:rsidRDefault="0047698C" w:rsidP="00CC0248">
      <w:pPr>
        <w:ind w:firstLineChars="100" w:firstLine="210"/>
        <w:rPr>
          <w:rFonts w:eastAsia="ＭＳ 明朝" w:cs="ＭＳ Ｐゴシック"/>
          <w:kern w:val="0"/>
          <w:szCs w:val="21"/>
        </w:rPr>
      </w:pPr>
    </w:p>
    <w:p w14:paraId="4BF41B78" w14:textId="5E9B9ED6" w:rsidR="00755354" w:rsidRPr="005F6787" w:rsidRDefault="0047698C" w:rsidP="0047698C">
      <w:pPr>
        <w:rPr>
          <w:rFonts w:cs="Times New Roman"/>
        </w:rPr>
      </w:pPr>
      <w:r w:rsidRPr="005F6787">
        <w:rPr>
          <w:rFonts w:eastAsia="ＭＳ 明朝" w:cs="ＭＳ Ｐゴシック"/>
          <w:kern w:val="0"/>
          <w:szCs w:val="21"/>
        </w:rPr>
        <w:t xml:space="preserve">(4) </w:t>
      </w:r>
      <w:r w:rsidR="00813332" w:rsidRPr="005F6787">
        <w:rPr>
          <w:rFonts w:eastAsia="ＭＳ 明朝" w:cs="ＭＳ Ｐゴシック"/>
          <w:kern w:val="0"/>
          <w:szCs w:val="21"/>
        </w:rPr>
        <w:t>しかし、連邦最高裁判所</w:t>
      </w:r>
      <w:r w:rsidR="001A650E" w:rsidRPr="005F6787">
        <w:rPr>
          <w:rFonts w:eastAsia="ＭＳ 明朝" w:cs="ＭＳ Ｐゴシック"/>
          <w:kern w:val="0"/>
          <w:szCs w:val="21"/>
        </w:rPr>
        <w:t>2020</w:t>
      </w:r>
      <w:r w:rsidR="001A650E" w:rsidRPr="005F6787">
        <w:rPr>
          <w:rFonts w:eastAsia="ＭＳ 明朝" w:cs="ＭＳ Ｐゴシック"/>
          <w:kern w:val="0"/>
          <w:szCs w:val="21"/>
        </w:rPr>
        <w:t>年</w:t>
      </w:r>
      <w:r w:rsidR="001A650E" w:rsidRPr="005F6787">
        <w:rPr>
          <w:rFonts w:eastAsia="ＭＳ 明朝" w:cs="ＭＳ Ｐゴシック"/>
          <w:kern w:val="0"/>
          <w:szCs w:val="21"/>
        </w:rPr>
        <w:t>6</w:t>
      </w:r>
      <w:r w:rsidR="001A650E" w:rsidRPr="005F6787">
        <w:rPr>
          <w:rFonts w:eastAsia="ＭＳ 明朝" w:cs="ＭＳ Ｐゴシック"/>
          <w:kern w:val="0"/>
          <w:szCs w:val="21"/>
        </w:rPr>
        <w:t>月</w:t>
      </w:r>
      <w:r w:rsidR="001A650E" w:rsidRPr="005F6787">
        <w:rPr>
          <w:rFonts w:eastAsia="ＭＳ 明朝" w:cs="ＭＳ Ｐゴシック"/>
          <w:kern w:val="0"/>
          <w:szCs w:val="21"/>
        </w:rPr>
        <w:t>23</w:t>
      </w:r>
      <w:r w:rsidR="001A650E" w:rsidRPr="005F6787">
        <w:rPr>
          <w:rFonts w:eastAsia="ＭＳ 明朝" w:cs="ＭＳ Ｐゴシック"/>
          <w:kern w:val="0"/>
          <w:szCs w:val="21"/>
        </w:rPr>
        <w:t>日決定</w:t>
      </w:r>
      <w:r w:rsidR="00813332" w:rsidRPr="005F6787">
        <w:rPr>
          <w:rFonts w:eastAsia="ＭＳ 明朝" w:cs="ＭＳ Ｐゴシック"/>
          <w:kern w:val="0"/>
          <w:szCs w:val="21"/>
        </w:rPr>
        <w:t>は、この高裁決定を斥け、</w:t>
      </w:r>
      <w:r w:rsidR="00FE0BF4" w:rsidRPr="005F6787">
        <w:rPr>
          <w:rFonts w:eastAsia="ＭＳ 明朝" w:cs="ＭＳ Ｐゴシック"/>
          <w:kern w:val="0"/>
          <w:szCs w:val="21"/>
        </w:rPr>
        <w:t>連邦</w:t>
      </w:r>
      <w:r w:rsidR="00813332" w:rsidRPr="005F6787">
        <w:rPr>
          <w:rFonts w:eastAsia="ＭＳ 明朝" w:cs="ＭＳ Ｐゴシック"/>
          <w:kern w:val="0"/>
          <w:szCs w:val="21"/>
        </w:rPr>
        <w:t>カルテル庁の命令を認めた。</w:t>
      </w:r>
      <w:r w:rsidR="00CC0248" w:rsidRPr="005F6787">
        <w:rPr>
          <w:rFonts w:eastAsia="ＭＳ 明朝" w:cs="ＭＳ Ｐゴシック"/>
          <w:kern w:val="0"/>
          <w:szCs w:val="21"/>
        </w:rPr>
        <w:t>いわく、</w:t>
      </w:r>
      <w:r w:rsidR="00755354" w:rsidRPr="005F6787">
        <w:rPr>
          <w:rFonts w:cs="Times New Roman"/>
        </w:rPr>
        <w:t>市場支配と搾取の間の因果関係に</w:t>
      </w:r>
      <w:r w:rsidR="00E93B90" w:rsidRPr="005F6787">
        <w:rPr>
          <w:rFonts w:eastAsia="ＭＳ 明朝" w:cs="ＭＳ Ｐゴシック"/>
          <w:kern w:val="0"/>
          <w:szCs w:val="21"/>
        </w:rPr>
        <w:t>ついては、</w:t>
      </w:r>
      <w:r w:rsidR="00755354" w:rsidRPr="005F6787">
        <w:rPr>
          <w:rFonts w:cs="Times New Roman"/>
        </w:rPr>
        <w:t>行為</w:t>
      </w:r>
      <w:r w:rsidR="00CC0248" w:rsidRPr="005F6787">
        <w:rPr>
          <w:rFonts w:cs="Times New Roman"/>
        </w:rPr>
        <w:t>的</w:t>
      </w:r>
      <w:r w:rsidR="00755354" w:rsidRPr="005F6787">
        <w:rPr>
          <w:rFonts w:cs="Times New Roman"/>
        </w:rPr>
        <w:t>因果関係</w:t>
      </w:r>
      <w:r w:rsidR="00755354" w:rsidRPr="005F6787">
        <w:rPr>
          <w:sz w:val="23"/>
          <w:szCs w:val="23"/>
        </w:rPr>
        <w:t>を必要とするものではなく、「</w:t>
      </w:r>
      <w:r w:rsidR="00755354" w:rsidRPr="005F6787">
        <w:rPr>
          <w:rFonts w:cs="Times New Roman"/>
        </w:rPr>
        <w:t>そのような行為が、基本的にすべての事業者にとって可能であるとしても、支配的な事業者による行為</w:t>
      </w:r>
      <w:r w:rsidR="00CC0248" w:rsidRPr="005F6787">
        <w:rPr>
          <w:rFonts w:cs="Times New Roman"/>
        </w:rPr>
        <w:t>のみが競争に悪影響を与えるという、結果的</w:t>
      </w:r>
      <w:r w:rsidR="00755354" w:rsidRPr="005F6787">
        <w:rPr>
          <w:rFonts w:cs="Times New Roman"/>
        </w:rPr>
        <w:t>因果関係があれば十分である」（</w:t>
      </w:r>
      <w:r w:rsidR="00755354" w:rsidRPr="005F6787">
        <w:rPr>
          <w:rFonts w:cs="Times New Roman"/>
        </w:rPr>
        <w:t>Rn.71</w:t>
      </w:r>
      <w:r w:rsidR="00755354" w:rsidRPr="005F6787">
        <w:rPr>
          <w:rFonts w:cs="Times New Roman"/>
        </w:rPr>
        <w:t>）</w:t>
      </w:r>
      <w:r w:rsidR="00CC0248" w:rsidRPr="005F6787">
        <w:rPr>
          <w:rFonts w:cs="Times New Roman"/>
        </w:rPr>
        <w:t>。</w:t>
      </w:r>
    </w:p>
    <w:p w14:paraId="15806EE0" w14:textId="4C43FA2A" w:rsidR="00813332" w:rsidRPr="005F6787" w:rsidRDefault="0047698C" w:rsidP="001C0F4F">
      <w:pPr>
        <w:widowControl/>
        <w:shd w:val="clear" w:color="auto" w:fill="FFFFFF"/>
        <w:ind w:firstLine="210"/>
        <w:rPr>
          <w:rFonts w:eastAsia="ＭＳ 明朝" w:cs="ＭＳ Ｐゴシック"/>
          <w:kern w:val="0"/>
          <w:szCs w:val="21"/>
        </w:rPr>
      </w:pPr>
      <w:r w:rsidRPr="005F6787">
        <w:rPr>
          <w:rFonts w:eastAsia="ＭＳ 明朝" w:cs="ＭＳ Ｐゴシック"/>
          <w:kern w:val="0"/>
          <w:szCs w:val="21"/>
        </w:rPr>
        <w:t>連邦最高裁は、</w:t>
      </w:r>
      <w:r w:rsidR="00E93B90" w:rsidRPr="005F6787">
        <w:rPr>
          <w:rFonts w:eastAsia="ＭＳ 明朝" w:cs="ＭＳ Ｐゴシック"/>
          <w:kern w:val="0"/>
          <w:szCs w:val="21"/>
        </w:rPr>
        <w:t>前記高裁判決の立場を、「厳格な因果関係」</w:t>
      </w:r>
      <w:r w:rsidRPr="005F6787">
        <w:rPr>
          <w:rFonts w:eastAsia="ＭＳ 明朝" w:cs="ＭＳ Ｐゴシック"/>
          <w:kern w:val="0"/>
          <w:szCs w:val="21"/>
        </w:rPr>
        <w:t>（</w:t>
      </w:r>
      <w:r w:rsidRPr="005F6787">
        <w:t>strikte Verhaltenskausalit</w:t>
      </w:r>
      <w:r w:rsidRPr="005F6787">
        <w:rPr>
          <w:sz w:val="23"/>
          <w:szCs w:val="23"/>
        </w:rPr>
        <w:t>ä</w:t>
      </w:r>
      <w:r w:rsidRPr="005F6787">
        <w:t>t</w:t>
      </w:r>
      <w:r w:rsidRPr="005F6787">
        <w:t>）</w:t>
      </w:r>
      <w:r w:rsidR="00E93B90" w:rsidRPr="005F6787">
        <w:rPr>
          <w:rFonts w:eastAsia="ＭＳ 明朝" w:cs="ＭＳ Ｐゴシック"/>
          <w:kern w:val="0"/>
          <w:szCs w:val="21"/>
        </w:rPr>
        <w:t>と呼び、</w:t>
      </w:r>
      <w:r w:rsidRPr="005F6787">
        <w:t>GWB19</w:t>
      </w:r>
      <w:r w:rsidRPr="005F6787">
        <w:t>条</w:t>
      </w:r>
      <w:r w:rsidRPr="005F6787">
        <w:t>1</w:t>
      </w:r>
      <w:r w:rsidRPr="005F6787">
        <w:t>項の適用にあたって、そこまで立証する必要はないと述べる（</w:t>
      </w:r>
      <w:r w:rsidRPr="005F6787">
        <w:t>Rn.72</w:t>
      </w:r>
      <w:r w:rsidRPr="005F6787">
        <w:t>）。</w:t>
      </w:r>
    </w:p>
    <w:p w14:paraId="768C2722" w14:textId="403EC152" w:rsidR="001A650E" w:rsidRPr="005F6787" w:rsidRDefault="001A650E" w:rsidP="00CC0248">
      <w:pPr>
        <w:adjustRightInd w:val="0"/>
        <w:ind w:firstLineChars="100" w:firstLine="210"/>
      </w:pPr>
      <w:r w:rsidRPr="005F6787">
        <w:rPr>
          <w:rFonts w:eastAsia="ＭＳ 明朝" w:cs="ＭＳ Ｐゴシック"/>
          <w:kern w:val="0"/>
          <w:szCs w:val="21"/>
        </w:rPr>
        <w:t>「</w:t>
      </w:r>
      <w:r w:rsidRPr="005F6787">
        <w:rPr>
          <w:rFonts w:cs="Times New Roman"/>
        </w:rPr>
        <w:t>控訴裁判所の見解とは異なり、濫用は、市場支配的事業者にとって、その地位によってはじめて、</w:t>
      </w:r>
      <w:r w:rsidRPr="005F6787">
        <w:t>需要者の搾取から生じる当該取引条件を押し付けることが可能になるということを、</w:t>
      </w:r>
      <w:r w:rsidRPr="005F6787">
        <w:rPr>
          <w:rFonts w:cs="Times New Roman"/>
        </w:rPr>
        <w:t>常に前提とするわけではない。</w:t>
      </w:r>
      <w:r w:rsidRPr="005F6787">
        <w:t>少なくとも、有効な競争においてはあり得ないよ</w:t>
      </w:r>
      <w:r w:rsidRPr="005F6787">
        <w:lastRenderedPageBreak/>
        <w:t>うな、押し付けられた取引条件が、需要者の負担となるような市場成果をもたらし、同時に、競争妨害をももたらす場合には、</w:t>
      </w:r>
      <w:r w:rsidRPr="005F6787">
        <w:t>GWB19</w:t>
      </w:r>
      <w:r w:rsidRPr="005F6787">
        <w:t>条</w:t>
      </w:r>
      <w:r w:rsidRPr="005F6787">
        <w:t>1</w:t>
      </w:r>
      <w:r w:rsidRPr="005F6787">
        <w:t>項によって必要とされる因果関係は否定されないのである。</w:t>
      </w:r>
    </w:p>
    <w:p w14:paraId="79C648F2" w14:textId="022F0DBF" w:rsidR="001A650E" w:rsidRPr="005F6787" w:rsidRDefault="001A650E" w:rsidP="00CC0248">
      <w:pPr>
        <w:ind w:firstLineChars="100" w:firstLine="210"/>
        <w:rPr>
          <w:rFonts w:cs="Times New Roman"/>
        </w:rPr>
      </w:pPr>
      <w:r w:rsidRPr="005F6787">
        <w:t>このことは特に、</w:t>
      </w:r>
      <w:r w:rsidRPr="005F6787">
        <w:rPr>
          <w:rFonts w:cs="Times New Roman"/>
        </w:rPr>
        <w:t>二面市場において、一方の市場サイドにおける、仲介者（プラットフォーマー）による搾取が同時に、他の市場サイドにおける競争を侵害する属性があるときに妥当する」（</w:t>
      </w:r>
      <w:r w:rsidRPr="005F6787">
        <w:rPr>
          <w:rFonts w:cs="Times New Roman"/>
        </w:rPr>
        <w:t>Rn.65</w:t>
      </w:r>
      <w:r w:rsidRPr="005F6787">
        <w:rPr>
          <w:rFonts w:cs="Times New Roman"/>
        </w:rPr>
        <w:t>）</w:t>
      </w:r>
      <w:r w:rsidR="00A468B9" w:rsidRPr="005F6787">
        <w:rPr>
          <w:rFonts w:cs="Times New Roman"/>
        </w:rPr>
        <w:t>。</w:t>
      </w:r>
    </w:p>
    <w:bookmarkEnd w:id="19"/>
    <w:p w14:paraId="73334F81" w14:textId="46E96705" w:rsidR="001A650E" w:rsidRPr="005F6787" w:rsidRDefault="001A650E" w:rsidP="001C0F4F">
      <w:pPr>
        <w:widowControl/>
        <w:shd w:val="clear" w:color="auto" w:fill="FFFFFF"/>
        <w:ind w:firstLine="210"/>
        <w:rPr>
          <w:rFonts w:eastAsia="ＭＳ 明朝" w:cs="ＭＳ Ｐゴシック"/>
          <w:kern w:val="0"/>
          <w:szCs w:val="21"/>
        </w:rPr>
      </w:pPr>
    </w:p>
    <w:p w14:paraId="3E800C82" w14:textId="45B8BCF6" w:rsidR="001C0F4F" w:rsidRPr="005F6787" w:rsidRDefault="00611062" w:rsidP="00611062">
      <w:pPr>
        <w:widowControl/>
        <w:shd w:val="clear" w:color="auto" w:fill="FFFFFF"/>
        <w:rPr>
          <w:rFonts w:eastAsia="ＭＳ Ｐゴシック" w:cs="ＭＳ Ｐゴシック"/>
          <w:kern w:val="0"/>
          <w:szCs w:val="21"/>
        </w:rPr>
      </w:pPr>
      <w:bookmarkStart w:id="20" w:name="_Hlk58749009"/>
      <w:r w:rsidRPr="005F6787">
        <w:rPr>
          <w:rFonts w:eastAsia="ＭＳ 明朝" w:cs="ＭＳ Ｐゴシック"/>
          <w:kern w:val="0"/>
          <w:szCs w:val="21"/>
        </w:rPr>
        <w:t xml:space="preserve">(5) </w:t>
      </w:r>
      <w:r w:rsidRPr="005F6787">
        <w:rPr>
          <w:rFonts w:eastAsia="ＭＳ 明朝" w:cs="ＭＳ Ｐゴシック"/>
          <w:kern w:val="0"/>
          <w:szCs w:val="21"/>
        </w:rPr>
        <w:t>本件の本案は、依然として前記高等裁判所に</w:t>
      </w:r>
      <w:bookmarkEnd w:id="20"/>
      <w:r w:rsidR="001C0F4F" w:rsidRPr="005F6787">
        <w:rPr>
          <w:rFonts w:eastAsia="ＭＳ 明朝" w:cs="ＭＳ Ｐゴシック"/>
          <w:kern w:val="0"/>
          <w:szCs w:val="21"/>
        </w:rPr>
        <w:t>係属中であり、今後も議論は続くであろう。</w:t>
      </w:r>
    </w:p>
    <w:p w14:paraId="516C9C9C" w14:textId="44A78E29" w:rsidR="00880664" w:rsidRPr="005F6787" w:rsidRDefault="00611062" w:rsidP="00E351C1">
      <w:pPr>
        <w:ind w:firstLineChars="100" w:firstLine="210"/>
        <w:rPr>
          <w:szCs w:val="21"/>
        </w:rPr>
      </w:pPr>
      <w:bookmarkStart w:id="21" w:name="_Hlk58748962"/>
      <w:r w:rsidRPr="005F6787">
        <w:rPr>
          <w:szCs w:val="21"/>
        </w:rPr>
        <w:t>本稿では、本事件について触れなかった点も多くある。そのうち</w:t>
      </w:r>
      <w:r w:rsidR="00E351C1" w:rsidRPr="005F6787">
        <w:rPr>
          <w:szCs w:val="21"/>
        </w:rPr>
        <w:t>、</w:t>
      </w:r>
      <w:r w:rsidRPr="005F6787">
        <w:rPr>
          <w:szCs w:val="21"/>
        </w:rPr>
        <w:t>本件では</w:t>
      </w:r>
      <w:bookmarkEnd w:id="21"/>
      <w:r w:rsidR="00E351C1" w:rsidRPr="005F6787">
        <w:rPr>
          <w:szCs w:val="21"/>
        </w:rPr>
        <w:t>ドイツの競争法ではなく、</w:t>
      </w:r>
      <w:r w:rsidR="00B55CFB" w:rsidRPr="005F6787">
        <w:rPr>
          <w:szCs w:val="21"/>
        </w:rPr>
        <w:t>なぜ</w:t>
      </w:r>
      <w:r w:rsidR="00B55CFB" w:rsidRPr="005F6787">
        <w:rPr>
          <w:szCs w:val="21"/>
        </w:rPr>
        <w:t>EU</w:t>
      </w:r>
      <w:r w:rsidR="00E351C1" w:rsidRPr="005F6787">
        <w:rPr>
          <w:szCs w:val="21"/>
        </w:rPr>
        <w:t>競争</w:t>
      </w:r>
      <w:r w:rsidR="00B55CFB" w:rsidRPr="005F6787">
        <w:rPr>
          <w:szCs w:val="21"/>
        </w:rPr>
        <w:t>法を適用しないのか</w:t>
      </w:r>
      <w:r w:rsidR="004C7EAA" w:rsidRPr="005F6787">
        <w:rPr>
          <w:szCs w:val="21"/>
        </w:rPr>
        <w:t>（</w:t>
      </w:r>
      <w:r w:rsidR="004C7EAA" w:rsidRPr="005F6787">
        <w:rPr>
          <w:szCs w:val="21"/>
        </w:rPr>
        <w:t>Rn. 914.</w:t>
      </w:r>
      <w:r w:rsidR="006262A1" w:rsidRPr="005F6787">
        <w:rPr>
          <w:szCs w:val="21"/>
        </w:rPr>
        <w:t>及び</w:t>
      </w:r>
      <w:r w:rsidR="004C7EAA" w:rsidRPr="005F6787">
        <w:rPr>
          <w:szCs w:val="21"/>
        </w:rPr>
        <w:t>Q&amp;A</w:t>
      </w:r>
      <w:r w:rsidR="004C7EAA" w:rsidRPr="005F6787">
        <w:rPr>
          <w:szCs w:val="21"/>
        </w:rPr>
        <w:t>文書）</w:t>
      </w:r>
      <w:r w:rsidR="00B55CFB" w:rsidRPr="005F6787">
        <w:rPr>
          <w:szCs w:val="21"/>
        </w:rPr>
        <w:t>、</w:t>
      </w:r>
      <w:r w:rsidR="00E351C1" w:rsidRPr="005F6787">
        <w:rPr>
          <w:szCs w:val="21"/>
        </w:rPr>
        <w:t>という疑問に対して</w:t>
      </w:r>
      <w:r w:rsidR="001C0F4F" w:rsidRPr="005F6787">
        <w:rPr>
          <w:szCs w:val="21"/>
        </w:rPr>
        <w:t>，本決定は丁寧な</w:t>
      </w:r>
      <w:r w:rsidR="00E351C1" w:rsidRPr="005F6787">
        <w:rPr>
          <w:szCs w:val="21"/>
        </w:rPr>
        <w:t>説明を加えている</w:t>
      </w:r>
      <w:r w:rsidR="001C0F4F" w:rsidRPr="005F6787">
        <w:rPr>
          <w:szCs w:val="21"/>
        </w:rPr>
        <w:t>が、</w:t>
      </w:r>
      <w:r w:rsidRPr="005F6787">
        <w:rPr>
          <w:szCs w:val="21"/>
        </w:rPr>
        <w:t>ここでは</w:t>
      </w:r>
      <w:r w:rsidR="001C0F4F" w:rsidRPr="005F6787">
        <w:rPr>
          <w:szCs w:val="21"/>
        </w:rPr>
        <w:t>割愛した</w:t>
      </w:r>
      <w:r w:rsidR="00B55CFB" w:rsidRPr="005F6787">
        <w:rPr>
          <w:szCs w:val="21"/>
        </w:rPr>
        <w:t>。</w:t>
      </w:r>
    </w:p>
    <w:p w14:paraId="4EC0EE27" w14:textId="77777777" w:rsidR="00B55CFB" w:rsidRPr="005F6787" w:rsidRDefault="00E351C1" w:rsidP="00866A77">
      <w:pPr>
        <w:ind w:firstLineChars="100" w:firstLine="210"/>
        <w:rPr>
          <w:szCs w:val="21"/>
        </w:rPr>
      </w:pPr>
      <w:r w:rsidRPr="005F6787">
        <w:rPr>
          <w:szCs w:val="21"/>
        </w:rPr>
        <w:t>さらに</w:t>
      </w:r>
      <w:r w:rsidR="00B55CFB" w:rsidRPr="005F6787">
        <w:rPr>
          <w:szCs w:val="21"/>
        </w:rPr>
        <w:t>、本決定が示している民法と</w:t>
      </w:r>
      <w:r w:rsidR="009A0C04" w:rsidRPr="005F6787">
        <w:rPr>
          <w:szCs w:val="21"/>
        </w:rPr>
        <w:t>競争法</w:t>
      </w:r>
      <w:r w:rsidR="00B55CFB" w:rsidRPr="005F6787">
        <w:rPr>
          <w:szCs w:val="21"/>
        </w:rPr>
        <w:t>の関連、特に</w:t>
      </w:r>
      <w:r w:rsidR="00B55CFB" w:rsidRPr="005F6787">
        <w:rPr>
          <w:rFonts w:cs="Arial"/>
          <w:kern w:val="0"/>
          <w:szCs w:val="21"/>
        </w:rPr>
        <w:t>給付と反対給付の不均衡</w:t>
      </w:r>
      <w:r w:rsidR="001C0F4F" w:rsidRPr="005F6787">
        <w:rPr>
          <w:rFonts w:cs="Arial"/>
          <w:kern w:val="0"/>
          <w:szCs w:val="21"/>
        </w:rPr>
        <w:t>、「利益衡量」等</w:t>
      </w:r>
      <w:r w:rsidR="00B55CFB" w:rsidRPr="005F6787">
        <w:rPr>
          <w:szCs w:val="21"/>
        </w:rPr>
        <w:t>については、競争法</w:t>
      </w:r>
      <w:r w:rsidR="001C0F4F" w:rsidRPr="005F6787">
        <w:rPr>
          <w:szCs w:val="21"/>
        </w:rPr>
        <w:t>上の濫用規制、</w:t>
      </w:r>
      <w:r w:rsidR="00B55CFB" w:rsidRPr="005F6787">
        <w:rPr>
          <w:szCs w:val="21"/>
        </w:rPr>
        <w:t>民法の一般条項や約款規制の諸条項、あるいは消費者保護の諸規定に通底する問題として捉えるべきものであるが、すべて今後の研究に委ねたい</w:t>
      </w:r>
      <w:r w:rsidR="001C0F4F" w:rsidRPr="005F6787">
        <w:rPr>
          <w:rStyle w:val="ad"/>
          <w:szCs w:val="21"/>
        </w:rPr>
        <w:footnoteReference w:id="46"/>
      </w:r>
      <w:r w:rsidR="00B55CFB" w:rsidRPr="005F6787">
        <w:rPr>
          <w:szCs w:val="21"/>
        </w:rPr>
        <w:t>。</w:t>
      </w:r>
    </w:p>
    <w:p w14:paraId="10437195" w14:textId="77777777" w:rsidR="00D70C9B" w:rsidRPr="005F6787" w:rsidRDefault="00D70C9B" w:rsidP="00866A77">
      <w:pPr>
        <w:ind w:firstLineChars="100" w:firstLine="210"/>
        <w:rPr>
          <w:szCs w:val="21"/>
        </w:rPr>
      </w:pPr>
    </w:p>
    <w:p w14:paraId="066908D8" w14:textId="77777777" w:rsidR="00D70C9B" w:rsidRPr="005F6787" w:rsidRDefault="00D70C9B" w:rsidP="00866A77">
      <w:pPr>
        <w:ind w:firstLineChars="100" w:firstLine="210"/>
        <w:rPr>
          <w:szCs w:val="21"/>
        </w:rPr>
      </w:pPr>
    </w:p>
    <w:p w14:paraId="0685044A" w14:textId="77777777" w:rsidR="00243E1E" w:rsidRPr="005F6787" w:rsidRDefault="00D70C9B" w:rsidP="00D70C9B">
      <w:pPr>
        <w:pStyle w:val="1"/>
        <w:rPr>
          <w:rFonts w:asciiTheme="minorHAnsi" w:eastAsiaTheme="minorEastAsia" w:hAnsiTheme="minorHAnsi"/>
          <w:sz w:val="21"/>
          <w:szCs w:val="21"/>
        </w:rPr>
      </w:pPr>
      <w:r w:rsidRPr="005F6787">
        <w:rPr>
          <w:rFonts w:asciiTheme="minorHAnsi" w:eastAsiaTheme="minorEastAsia" w:hAnsiTheme="minorHAnsi"/>
          <w:b/>
          <w:sz w:val="21"/>
          <w:szCs w:val="21"/>
        </w:rPr>
        <w:t>参考文献</w:t>
      </w:r>
    </w:p>
    <w:p w14:paraId="380238BD" w14:textId="77777777" w:rsidR="00243E1E" w:rsidRPr="005F6787" w:rsidRDefault="00243E1E" w:rsidP="00243E1E">
      <w:pPr>
        <w:ind w:firstLineChars="100" w:firstLine="210"/>
        <w:rPr>
          <w:szCs w:val="21"/>
          <w:shd w:val="clear" w:color="auto" w:fill="FFFFFF"/>
        </w:rPr>
      </w:pPr>
      <w:r w:rsidRPr="005F6787">
        <w:rPr>
          <w:szCs w:val="21"/>
          <w:shd w:val="clear" w:color="auto" w:fill="FFFFFF"/>
        </w:rPr>
        <w:t>本リストでは、執筆者の名前（姓）を先に出し、それを五十音順で並べた。</w:t>
      </w:r>
    </w:p>
    <w:p w14:paraId="48478ACB" w14:textId="77777777" w:rsidR="002972CB" w:rsidRPr="005F6787" w:rsidRDefault="00D70C9B" w:rsidP="00243E1E">
      <w:pPr>
        <w:ind w:firstLineChars="100" w:firstLine="210"/>
        <w:rPr>
          <w:szCs w:val="21"/>
          <w:shd w:val="clear" w:color="auto" w:fill="FFFFFF"/>
        </w:rPr>
      </w:pPr>
      <w:r w:rsidRPr="005F6787">
        <w:rPr>
          <w:szCs w:val="21"/>
          <w:shd w:val="clear" w:color="auto" w:fill="FFFFFF"/>
        </w:rPr>
        <w:t>本文の</w:t>
      </w:r>
      <w:r w:rsidR="00243E1E" w:rsidRPr="005F6787">
        <w:rPr>
          <w:szCs w:val="21"/>
          <w:shd w:val="clear" w:color="auto" w:fill="FFFFFF"/>
        </w:rPr>
        <w:t>注</w:t>
      </w:r>
      <w:r w:rsidRPr="005F6787">
        <w:rPr>
          <w:szCs w:val="21"/>
          <w:shd w:val="clear" w:color="auto" w:fill="FFFFFF"/>
        </w:rPr>
        <w:t>で引用する際には</w:t>
      </w:r>
      <w:r w:rsidR="00243E1E" w:rsidRPr="005F6787">
        <w:rPr>
          <w:szCs w:val="21"/>
          <w:shd w:val="clear" w:color="auto" w:fill="FFFFFF"/>
        </w:rPr>
        <w:t>、</w:t>
      </w:r>
      <w:r w:rsidR="00243E1E" w:rsidRPr="005F6787">
        <w:rPr>
          <w:szCs w:val="21"/>
          <w:shd w:val="clear" w:color="auto" w:fill="FFFFFF"/>
        </w:rPr>
        <w:t>→</w:t>
      </w:r>
      <w:r w:rsidR="00243E1E" w:rsidRPr="005F6787">
        <w:rPr>
          <w:szCs w:val="21"/>
          <w:shd w:val="clear" w:color="auto" w:fill="FFFFFF"/>
        </w:rPr>
        <w:t>で示した略語を用いた。</w:t>
      </w:r>
    </w:p>
    <w:p w14:paraId="7BA4694E" w14:textId="77777777" w:rsidR="00243E1E" w:rsidRPr="005F6787" w:rsidRDefault="00243E1E" w:rsidP="00243E1E">
      <w:pPr>
        <w:ind w:firstLineChars="100" w:firstLine="210"/>
        <w:rPr>
          <w:szCs w:val="21"/>
          <w:shd w:val="clear" w:color="auto" w:fill="FFFFFF"/>
        </w:rPr>
      </w:pPr>
    </w:p>
    <w:p w14:paraId="6D68D430" w14:textId="77777777" w:rsidR="002972CB" w:rsidRPr="005F6787" w:rsidRDefault="002972CB" w:rsidP="002972CB">
      <w:pPr>
        <w:rPr>
          <w:szCs w:val="21"/>
        </w:rPr>
      </w:pPr>
      <w:r w:rsidRPr="005F6787">
        <w:rPr>
          <w:szCs w:val="21"/>
        </w:rPr>
        <w:t>Emmerich, Volker, Kartellrecht, 13. Aufl.(2014)</w:t>
      </w:r>
      <w:r w:rsidRPr="005F6787">
        <w:rPr>
          <w:szCs w:val="21"/>
        </w:rPr>
        <w:t xml:space="preserve">　</w:t>
      </w:r>
      <w:r w:rsidRPr="005F6787">
        <w:rPr>
          <w:szCs w:val="21"/>
        </w:rPr>
        <w:t>→</w:t>
      </w:r>
      <w:r w:rsidRPr="005F6787">
        <w:rPr>
          <w:szCs w:val="21"/>
        </w:rPr>
        <w:t xml:space="preserve">　</w:t>
      </w:r>
      <w:r w:rsidRPr="005F6787">
        <w:rPr>
          <w:szCs w:val="21"/>
        </w:rPr>
        <w:t>Emmerich[2014]</w:t>
      </w:r>
    </w:p>
    <w:p w14:paraId="69A12335" w14:textId="77777777" w:rsidR="002972CB" w:rsidRPr="005F6787" w:rsidRDefault="002972CB" w:rsidP="002972CB">
      <w:pPr>
        <w:rPr>
          <w:szCs w:val="21"/>
        </w:rPr>
      </w:pPr>
      <w:r w:rsidRPr="005F6787">
        <w:rPr>
          <w:szCs w:val="21"/>
        </w:rPr>
        <w:t>Immenga/Mestmacker,GWB, Kommentar zum Kartellgesetz,5.Aufl.2014</w:t>
      </w:r>
    </w:p>
    <w:p w14:paraId="65D08623" w14:textId="77777777" w:rsidR="002972CB" w:rsidRPr="005F6787" w:rsidRDefault="002972CB" w:rsidP="002972CB">
      <w:pPr>
        <w:rPr>
          <w:szCs w:val="21"/>
        </w:rPr>
      </w:pPr>
      <w:r w:rsidRPr="005F6787">
        <w:rPr>
          <w:szCs w:val="21"/>
        </w:rPr>
        <w:t>→</w:t>
      </w:r>
      <w:r w:rsidRPr="005F6787">
        <w:rPr>
          <w:szCs w:val="21"/>
        </w:rPr>
        <w:t xml:space="preserve">　</w:t>
      </w:r>
      <w:r w:rsidRPr="005F6787">
        <w:rPr>
          <w:szCs w:val="21"/>
        </w:rPr>
        <w:t>Immenga/Mestmacker[2014]</w:t>
      </w:r>
    </w:p>
    <w:p w14:paraId="0BB6DD69" w14:textId="77777777" w:rsidR="002972CB" w:rsidRPr="005F6787" w:rsidRDefault="002972CB" w:rsidP="002972CB">
      <w:pPr>
        <w:rPr>
          <w:szCs w:val="21"/>
        </w:rPr>
      </w:pPr>
      <w:r w:rsidRPr="005F6787">
        <w:rPr>
          <w:szCs w:val="21"/>
        </w:rPr>
        <w:t>Langen/Bunte (Hrsg.), Kartellrecht, Kommentar, 12</w:t>
      </w:r>
      <w:r w:rsidRPr="005F6787">
        <w:rPr>
          <w:szCs w:val="21"/>
        </w:rPr>
        <w:t>．</w:t>
      </w:r>
      <w:r w:rsidRPr="005F6787">
        <w:rPr>
          <w:szCs w:val="21"/>
        </w:rPr>
        <w:t>Aufl.2014</w:t>
      </w:r>
    </w:p>
    <w:p w14:paraId="0158BFD1" w14:textId="77777777" w:rsidR="002972CB" w:rsidRPr="005F6787" w:rsidRDefault="002972CB" w:rsidP="002972CB">
      <w:pPr>
        <w:rPr>
          <w:szCs w:val="21"/>
        </w:rPr>
      </w:pPr>
      <w:r w:rsidRPr="005F6787">
        <w:rPr>
          <w:szCs w:val="21"/>
        </w:rPr>
        <w:t>→</w:t>
      </w:r>
      <w:r w:rsidRPr="005F6787">
        <w:rPr>
          <w:szCs w:val="21"/>
        </w:rPr>
        <w:t xml:space="preserve">　</w:t>
      </w:r>
      <w:r w:rsidRPr="005F6787">
        <w:rPr>
          <w:szCs w:val="21"/>
        </w:rPr>
        <w:t>Langen/Bunte[2014]</w:t>
      </w:r>
    </w:p>
    <w:p w14:paraId="44C37105" w14:textId="77777777" w:rsidR="002972CB" w:rsidRPr="005F6787" w:rsidRDefault="002972CB" w:rsidP="002972CB">
      <w:pPr>
        <w:rPr>
          <w:szCs w:val="21"/>
        </w:rPr>
      </w:pPr>
      <w:r w:rsidRPr="005F6787">
        <w:rPr>
          <w:szCs w:val="21"/>
        </w:rPr>
        <w:t>青谷和夫「普通取引条款の拘束力と解釈</w:t>
      </w:r>
      <w:r w:rsidRPr="005F6787">
        <w:rPr>
          <w:szCs w:val="21"/>
        </w:rPr>
        <w:t>(1</w:t>
      </w:r>
      <w:r w:rsidRPr="005F6787">
        <w:rPr>
          <w:szCs w:val="21"/>
        </w:rPr>
        <w:t>・</w:t>
      </w:r>
      <w:r w:rsidRPr="005F6787">
        <w:rPr>
          <w:szCs w:val="21"/>
        </w:rPr>
        <w:t>2</w:t>
      </w:r>
      <w:r w:rsidRPr="005F6787">
        <w:rPr>
          <w:szCs w:val="21"/>
        </w:rPr>
        <w:t>完</w:t>
      </w:r>
      <w:r w:rsidRPr="005F6787">
        <w:rPr>
          <w:szCs w:val="21"/>
        </w:rPr>
        <w:t>)</w:t>
      </w:r>
      <w:r w:rsidRPr="005F6787">
        <w:rPr>
          <w:szCs w:val="21"/>
        </w:rPr>
        <w:t>」比較法制研究</w:t>
      </w:r>
      <w:r w:rsidRPr="005F6787">
        <w:rPr>
          <w:szCs w:val="21"/>
        </w:rPr>
        <w:t>7</w:t>
      </w:r>
      <w:r w:rsidRPr="005F6787">
        <w:rPr>
          <w:szCs w:val="21"/>
        </w:rPr>
        <w:t>号</w:t>
      </w:r>
      <w:r w:rsidRPr="005F6787">
        <w:rPr>
          <w:szCs w:val="21"/>
        </w:rPr>
        <w:t>27</w:t>
      </w:r>
      <w:r w:rsidRPr="005F6787">
        <w:rPr>
          <w:szCs w:val="21"/>
        </w:rPr>
        <w:t>頁以下、</w:t>
      </w:r>
      <w:r w:rsidRPr="005F6787">
        <w:rPr>
          <w:szCs w:val="21"/>
        </w:rPr>
        <w:t>8</w:t>
      </w:r>
      <w:r w:rsidRPr="005F6787">
        <w:rPr>
          <w:szCs w:val="21"/>
        </w:rPr>
        <w:t>号</w:t>
      </w:r>
      <w:r w:rsidRPr="005F6787">
        <w:rPr>
          <w:szCs w:val="21"/>
        </w:rPr>
        <w:t>11</w:t>
      </w:r>
      <w:r w:rsidRPr="005F6787">
        <w:rPr>
          <w:szCs w:val="21"/>
        </w:rPr>
        <w:t>頁以下（</w:t>
      </w:r>
      <w:r w:rsidRPr="005F6787">
        <w:rPr>
          <w:szCs w:val="21"/>
        </w:rPr>
        <w:t>1985</w:t>
      </w:r>
      <w:r w:rsidRPr="005F6787">
        <w:rPr>
          <w:szCs w:val="21"/>
        </w:rPr>
        <w:t>）</w:t>
      </w:r>
      <w:r w:rsidRPr="005F6787">
        <w:rPr>
          <w:szCs w:val="21"/>
        </w:rPr>
        <w:t>→</w:t>
      </w:r>
      <w:r w:rsidRPr="005F6787">
        <w:rPr>
          <w:szCs w:val="21"/>
        </w:rPr>
        <w:t xml:space="preserve">　青谷和夫</w:t>
      </w:r>
      <w:r w:rsidRPr="005F6787">
        <w:rPr>
          <w:szCs w:val="21"/>
        </w:rPr>
        <w:t>[1985]</w:t>
      </w:r>
    </w:p>
    <w:p w14:paraId="18D39A39" w14:textId="77777777" w:rsidR="002972CB" w:rsidRPr="005F6787" w:rsidRDefault="002972CB" w:rsidP="002972CB">
      <w:pPr>
        <w:rPr>
          <w:szCs w:val="21"/>
        </w:rPr>
      </w:pPr>
      <w:r w:rsidRPr="005F6787">
        <w:rPr>
          <w:szCs w:val="21"/>
        </w:rPr>
        <w:t>石井夏生利『新版個人情報保護法の現在と未来一世界的潮流と日本の将来像』勁草書房</w:t>
      </w:r>
      <w:r w:rsidRPr="005F6787">
        <w:rPr>
          <w:szCs w:val="21"/>
        </w:rPr>
        <w:t>(2017)→</w:t>
      </w:r>
      <w:r w:rsidRPr="005F6787">
        <w:rPr>
          <w:szCs w:val="21"/>
        </w:rPr>
        <w:t xml:space="preserve">　石井夏生利</w:t>
      </w:r>
      <w:r w:rsidRPr="005F6787">
        <w:rPr>
          <w:szCs w:val="21"/>
        </w:rPr>
        <w:t>[2017]</w:t>
      </w:r>
    </w:p>
    <w:p w14:paraId="35739125" w14:textId="3C4C6C27" w:rsidR="00474BBF" w:rsidRPr="005F6787" w:rsidRDefault="00474BBF" w:rsidP="00474BBF">
      <w:pPr>
        <w:rPr>
          <w:szCs w:val="21"/>
        </w:rPr>
      </w:pPr>
      <w:r w:rsidRPr="005F6787">
        <w:rPr>
          <w:szCs w:val="21"/>
        </w:rPr>
        <w:t>石井夏生利「</w:t>
      </w:r>
      <w:r w:rsidRPr="005F6787">
        <w:rPr>
          <w:szCs w:val="21"/>
        </w:rPr>
        <w:t>EU</w:t>
      </w:r>
      <w:r w:rsidRPr="005F6787">
        <w:rPr>
          <w:szCs w:val="21"/>
        </w:rPr>
        <w:t>データ保護関連法の『同意』概念」</w:t>
      </w:r>
      <w:r w:rsidRPr="005F6787">
        <w:rPr>
          <w:szCs w:val="21"/>
        </w:rPr>
        <w:t>Nextcom38</w:t>
      </w:r>
      <w:r w:rsidRPr="005F6787">
        <w:rPr>
          <w:szCs w:val="21"/>
        </w:rPr>
        <w:t>号</w:t>
      </w:r>
      <w:r w:rsidRPr="005F6787">
        <w:rPr>
          <w:szCs w:val="21"/>
        </w:rPr>
        <w:t>33</w:t>
      </w:r>
      <w:r w:rsidRPr="005F6787">
        <w:rPr>
          <w:szCs w:val="21"/>
        </w:rPr>
        <w:t>頁以下（</w:t>
      </w:r>
      <w:r w:rsidRPr="005F6787">
        <w:rPr>
          <w:szCs w:val="21"/>
        </w:rPr>
        <w:t>2019</w:t>
      </w:r>
      <w:r w:rsidRPr="005F6787">
        <w:rPr>
          <w:szCs w:val="21"/>
        </w:rPr>
        <w:t>）</w:t>
      </w:r>
      <w:r w:rsidRPr="005F6787">
        <w:rPr>
          <w:szCs w:val="21"/>
        </w:rPr>
        <w:t>→</w:t>
      </w:r>
      <w:r w:rsidRPr="005F6787">
        <w:rPr>
          <w:szCs w:val="21"/>
        </w:rPr>
        <w:t xml:space="preserve">　石井夏生利</w:t>
      </w:r>
      <w:r w:rsidRPr="005F6787">
        <w:rPr>
          <w:szCs w:val="21"/>
        </w:rPr>
        <w:t>[2019]</w:t>
      </w:r>
    </w:p>
    <w:p w14:paraId="2D94047F" w14:textId="77777777" w:rsidR="002972CB" w:rsidRPr="005F6787" w:rsidRDefault="002972CB" w:rsidP="002972CB">
      <w:pPr>
        <w:rPr>
          <w:szCs w:val="21"/>
        </w:rPr>
      </w:pPr>
      <w:r w:rsidRPr="005F6787">
        <w:rPr>
          <w:rFonts w:cs="メイリオ"/>
          <w:szCs w:val="21"/>
        </w:rPr>
        <w:t>市川芳治「</w:t>
      </w:r>
      <w:r w:rsidRPr="005F6787">
        <w:rPr>
          <w:szCs w:val="21"/>
          <w:shd w:val="clear" w:color="auto" w:fill="FFFFFF"/>
        </w:rPr>
        <w:t>第</w:t>
      </w:r>
      <w:r w:rsidRPr="005F6787">
        <w:rPr>
          <w:szCs w:val="21"/>
          <w:shd w:val="clear" w:color="auto" w:fill="FFFFFF"/>
        </w:rPr>
        <w:t>4</w:t>
      </w:r>
      <w:r w:rsidRPr="005F6787">
        <w:rPr>
          <w:szCs w:val="21"/>
          <w:shd w:val="clear" w:color="auto" w:fill="FFFFFF"/>
        </w:rPr>
        <w:t>次産業革命がもたらす変革と競争政策</w:t>
      </w:r>
      <w:r w:rsidRPr="005F6787">
        <w:rPr>
          <w:szCs w:val="21"/>
          <w:shd w:val="clear" w:color="auto" w:fill="FFFFFF"/>
        </w:rPr>
        <w:t>(</w:t>
      </w:r>
      <w:r w:rsidRPr="005F6787">
        <w:rPr>
          <w:szCs w:val="21"/>
          <w:shd w:val="clear" w:color="auto" w:fill="FFFFFF"/>
        </w:rPr>
        <w:t>上・下</w:t>
      </w:r>
      <w:r w:rsidRPr="005F6787">
        <w:rPr>
          <w:szCs w:val="21"/>
          <w:shd w:val="clear" w:color="auto" w:fill="FFFFFF"/>
        </w:rPr>
        <w:t>)</w:t>
      </w:r>
      <w:r w:rsidRPr="005F6787">
        <w:rPr>
          <w:szCs w:val="21"/>
          <w:shd w:val="clear" w:color="auto" w:fill="FFFFFF"/>
        </w:rPr>
        <w:t>」</w:t>
      </w:r>
      <w:r w:rsidRPr="005F6787">
        <w:rPr>
          <w:szCs w:val="21"/>
          <w:shd w:val="clear" w:color="auto" w:fill="FFFFFF"/>
        </w:rPr>
        <w:t>NBL1088</w:t>
      </w:r>
      <w:r w:rsidRPr="005F6787">
        <w:rPr>
          <w:szCs w:val="21"/>
          <w:shd w:val="clear" w:color="auto" w:fill="FFFFFF"/>
        </w:rPr>
        <w:t>号</w:t>
      </w:r>
      <w:r w:rsidRPr="005F6787">
        <w:rPr>
          <w:szCs w:val="21"/>
          <w:shd w:val="clear" w:color="auto" w:fill="FFFFFF"/>
        </w:rPr>
        <w:t>13</w:t>
      </w:r>
      <w:r w:rsidRPr="005F6787">
        <w:rPr>
          <w:szCs w:val="21"/>
          <w:shd w:val="clear" w:color="auto" w:fill="FFFFFF"/>
        </w:rPr>
        <w:t>頁以下</w:t>
      </w:r>
      <w:r w:rsidRPr="005F6787">
        <w:rPr>
          <w:szCs w:val="21"/>
          <w:shd w:val="clear" w:color="auto" w:fill="FFFFFF"/>
        </w:rPr>
        <w:t>,1099</w:t>
      </w:r>
      <w:r w:rsidRPr="005F6787">
        <w:rPr>
          <w:szCs w:val="21"/>
          <w:shd w:val="clear" w:color="auto" w:fill="FFFFFF"/>
        </w:rPr>
        <w:t>号</w:t>
      </w:r>
      <w:r w:rsidRPr="005F6787">
        <w:rPr>
          <w:szCs w:val="21"/>
          <w:shd w:val="clear" w:color="auto" w:fill="FFFFFF"/>
        </w:rPr>
        <w:t>61</w:t>
      </w:r>
      <w:r w:rsidRPr="005F6787">
        <w:rPr>
          <w:szCs w:val="21"/>
          <w:shd w:val="clear" w:color="auto" w:fill="FFFFFF"/>
        </w:rPr>
        <w:t>頁以下（</w:t>
      </w:r>
      <w:r w:rsidRPr="005F6787">
        <w:rPr>
          <w:szCs w:val="21"/>
          <w:shd w:val="clear" w:color="auto" w:fill="FFFFFF"/>
        </w:rPr>
        <w:t>2016-17</w:t>
      </w:r>
      <w:r w:rsidRPr="005F6787">
        <w:rPr>
          <w:szCs w:val="21"/>
          <w:shd w:val="clear" w:color="auto" w:fill="FFFFFF"/>
        </w:rPr>
        <w:t>）</w:t>
      </w:r>
      <w:r w:rsidRPr="005F6787">
        <w:rPr>
          <w:szCs w:val="21"/>
          <w:shd w:val="clear" w:color="auto" w:fill="FFFFFF"/>
        </w:rPr>
        <w:t>→</w:t>
      </w:r>
      <w:r w:rsidRPr="005F6787">
        <w:rPr>
          <w:szCs w:val="21"/>
          <w:shd w:val="clear" w:color="auto" w:fill="FFFFFF"/>
        </w:rPr>
        <w:t xml:space="preserve">　</w:t>
      </w:r>
      <w:r w:rsidRPr="005F6787">
        <w:rPr>
          <w:rFonts w:cs="メイリオ"/>
          <w:szCs w:val="21"/>
        </w:rPr>
        <w:t>市川芳治</w:t>
      </w:r>
      <w:r w:rsidRPr="005F6787">
        <w:rPr>
          <w:rFonts w:cs="メイリオ"/>
          <w:szCs w:val="21"/>
        </w:rPr>
        <w:t>[2016-17]</w:t>
      </w:r>
    </w:p>
    <w:p w14:paraId="227D3DA0" w14:textId="77777777" w:rsidR="004E2496" w:rsidRPr="005F6787" w:rsidRDefault="004E2496" w:rsidP="002972CB">
      <w:pPr>
        <w:rPr>
          <w:szCs w:val="21"/>
        </w:rPr>
      </w:pPr>
      <w:r w:rsidRPr="005F6787">
        <w:rPr>
          <w:szCs w:val="21"/>
        </w:rPr>
        <w:t>市川芳治「デジタル経済における競争法の射程に関する覚書」慶應法学</w:t>
      </w:r>
      <w:r w:rsidRPr="005F6787">
        <w:rPr>
          <w:szCs w:val="21"/>
        </w:rPr>
        <w:t>43</w:t>
      </w:r>
      <w:r w:rsidRPr="005F6787">
        <w:rPr>
          <w:szCs w:val="21"/>
        </w:rPr>
        <w:t>号</w:t>
      </w:r>
      <w:r w:rsidRPr="005F6787">
        <w:rPr>
          <w:szCs w:val="21"/>
        </w:rPr>
        <w:t>139</w:t>
      </w:r>
      <w:r w:rsidRPr="005F6787">
        <w:rPr>
          <w:szCs w:val="21"/>
        </w:rPr>
        <w:t>頁以下</w:t>
      </w:r>
      <w:r w:rsidRPr="005F6787">
        <w:rPr>
          <w:szCs w:val="21"/>
        </w:rPr>
        <w:lastRenderedPageBreak/>
        <w:t>（</w:t>
      </w:r>
      <w:r w:rsidRPr="005F6787">
        <w:rPr>
          <w:szCs w:val="21"/>
        </w:rPr>
        <w:t>2020</w:t>
      </w:r>
      <w:r w:rsidRPr="005F6787">
        <w:rPr>
          <w:szCs w:val="21"/>
        </w:rPr>
        <w:t>）</w:t>
      </w:r>
      <w:r w:rsidRPr="005F6787">
        <w:rPr>
          <w:szCs w:val="21"/>
          <w:shd w:val="clear" w:color="auto" w:fill="FFFFFF"/>
        </w:rPr>
        <w:t>→</w:t>
      </w:r>
      <w:r w:rsidRPr="005F6787">
        <w:rPr>
          <w:szCs w:val="21"/>
          <w:shd w:val="clear" w:color="auto" w:fill="FFFFFF"/>
        </w:rPr>
        <w:t xml:space="preserve">　</w:t>
      </w:r>
      <w:r w:rsidRPr="005F6787">
        <w:rPr>
          <w:rFonts w:cs="メイリオ"/>
          <w:szCs w:val="21"/>
        </w:rPr>
        <w:t>市川芳治</w:t>
      </w:r>
      <w:r w:rsidRPr="005F6787">
        <w:rPr>
          <w:rFonts w:cs="メイリオ"/>
          <w:szCs w:val="21"/>
        </w:rPr>
        <w:t>[2020]</w:t>
      </w:r>
    </w:p>
    <w:p w14:paraId="39B1F386" w14:textId="77777777" w:rsidR="002972CB" w:rsidRPr="005F6787" w:rsidRDefault="002972CB" w:rsidP="002972CB">
      <w:pPr>
        <w:rPr>
          <w:szCs w:val="21"/>
        </w:rPr>
      </w:pPr>
      <w:r w:rsidRPr="005F6787">
        <w:rPr>
          <w:szCs w:val="21"/>
        </w:rPr>
        <w:t>井畑陽平「『取引型』の二面プラットフォームによる垂直的な制限とシャーマン反トラスト法</w:t>
      </w:r>
      <w:r w:rsidRPr="005F6787">
        <w:rPr>
          <w:szCs w:val="21"/>
        </w:rPr>
        <w:t>1</w:t>
      </w:r>
      <w:r w:rsidRPr="005F6787">
        <w:rPr>
          <w:szCs w:val="21"/>
        </w:rPr>
        <w:t>条</w:t>
      </w:r>
      <w:r w:rsidRPr="005F6787">
        <w:rPr>
          <w:szCs w:val="21"/>
        </w:rPr>
        <w:t xml:space="preserve">---- </w:t>
      </w:r>
      <w:r w:rsidRPr="005F6787">
        <w:rPr>
          <w:szCs w:val="21"/>
        </w:rPr>
        <w:t>アメックス事件連邦最高裁判決」公正取引</w:t>
      </w:r>
      <w:r w:rsidRPr="005F6787">
        <w:rPr>
          <w:szCs w:val="21"/>
        </w:rPr>
        <w:t>821</w:t>
      </w:r>
      <w:r w:rsidRPr="005F6787">
        <w:rPr>
          <w:szCs w:val="21"/>
        </w:rPr>
        <w:t>号</w:t>
      </w:r>
      <w:r w:rsidRPr="005F6787">
        <w:rPr>
          <w:szCs w:val="21"/>
        </w:rPr>
        <w:t>19</w:t>
      </w:r>
      <w:r w:rsidRPr="005F6787">
        <w:rPr>
          <w:szCs w:val="21"/>
        </w:rPr>
        <w:t>頁以下（</w:t>
      </w:r>
      <w:r w:rsidRPr="005F6787">
        <w:rPr>
          <w:szCs w:val="21"/>
        </w:rPr>
        <w:t>2019</w:t>
      </w:r>
      <w:r w:rsidRPr="005F6787">
        <w:rPr>
          <w:szCs w:val="21"/>
        </w:rPr>
        <w:t>）</w:t>
      </w:r>
      <w:r w:rsidRPr="005F6787">
        <w:rPr>
          <w:szCs w:val="21"/>
        </w:rPr>
        <w:t>→</w:t>
      </w:r>
      <w:r w:rsidRPr="005F6787">
        <w:rPr>
          <w:szCs w:val="21"/>
        </w:rPr>
        <w:t xml:space="preserve">　井畑陽平</w:t>
      </w:r>
      <w:r w:rsidRPr="005F6787">
        <w:rPr>
          <w:szCs w:val="21"/>
        </w:rPr>
        <w:t>[2019]</w:t>
      </w:r>
    </w:p>
    <w:p w14:paraId="7AD831B2" w14:textId="652AD620" w:rsidR="002972CB" w:rsidRPr="005F6787" w:rsidRDefault="002972CB" w:rsidP="002972CB">
      <w:pPr>
        <w:rPr>
          <w:szCs w:val="21"/>
        </w:rPr>
      </w:pPr>
      <w:r w:rsidRPr="005F6787">
        <w:rPr>
          <w:szCs w:val="21"/>
        </w:rPr>
        <w:t>泉眞樹子「【ドイツ】連邦データ保護法の全文改正</w:t>
      </w:r>
      <w:r w:rsidRPr="005F6787">
        <w:rPr>
          <w:szCs w:val="21"/>
        </w:rPr>
        <w:t xml:space="preserve">―EU </w:t>
      </w:r>
      <w:r w:rsidRPr="005F6787">
        <w:rPr>
          <w:szCs w:val="21"/>
        </w:rPr>
        <w:t>規則等の国内法化」外国の立法</w:t>
      </w:r>
      <w:r w:rsidRPr="005F6787">
        <w:rPr>
          <w:szCs w:val="21"/>
        </w:rPr>
        <w:t xml:space="preserve"> No.276-1</w:t>
      </w:r>
      <w:r w:rsidRPr="005F6787">
        <w:rPr>
          <w:szCs w:val="21"/>
        </w:rPr>
        <w:t>（</w:t>
      </w:r>
      <w:r w:rsidRPr="005F6787">
        <w:rPr>
          <w:szCs w:val="21"/>
        </w:rPr>
        <w:t>2018</w:t>
      </w:r>
      <w:r w:rsidRPr="005F6787">
        <w:rPr>
          <w:szCs w:val="21"/>
        </w:rPr>
        <w:t>）</w:t>
      </w:r>
    </w:p>
    <w:p w14:paraId="52F76795" w14:textId="37656B68" w:rsidR="00785026" w:rsidRPr="005F6787" w:rsidRDefault="003E7FA0" w:rsidP="002972CB">
      <w:pPr>
        <w:rPr>
          <w:rStyle w:val="a3"/>
          <w:color w:val="auto"/>
          <w:szCs w:val="21"/>
        </w:rPr>
      </w:pPr>
      <w:hyperlink r:id="rId13" w:history="1">
        <w:r w:rsidR="00785026" w:rsidRPr="005F6787">
          <w:rPr>
            <w:rStyle w:val="a3"/>
            <w:color w:val="auto"/>
            <w:szCs w:val="21"/>
          </w:rPr>
          <w:t>http://dl.ndl.go.jp/view/download/digidepo_11117154_po_02760102.pdf?contentNo=1&amp;alternativeNo=</w:t>
        </w:r>
      </w:hyperlink>
    </w:p>
    <w:p w14:paraId="60CF58B7" w14:textId="77777777" w:rsidR="00861EC9" w:rsidRPr="005F6787" w:rsidRDefault="00861EC9" w:rsidP="00861EC9">
      <w:pPr>
        <w:rPr>
          <w:szCs w:val="21"/>
        </w:rPr>
      </w:pPr>
      <w:r w:rsidRPr="005F6787">
        <w:rPr>
          <w:szCs w:val="21"/>
        </w:rPr>
        <w:t>→</w:t>
      </w:r>
      <w:r w:rsidRPr="005F6787">
        <w:rPr>
          <w:szCs w:val="21"/>
        </w:rPr>
        <w:t xml:space="preserve">　泉眞樹子</w:t>
      </w:r>
      <w:r w:rsidRPr="005F6787">
        <w:rPr>
          <w:szCs w:val="21"/>
        </w:rPr>
        <w:t>[2018]</w:t>
      </w:r>
    </w:p>
    <w:p w14:paraId="784DAAF3" w14:textId="77777777" w:rsidR="002972CB" w:rsidRPr="005F6787" w:rsidRDefault="002972CB" w:rsidP="002972CB">
      <w:pPr>
        <w:rPr>
          <w:b/>
          <w:szCs w:val="21"/>
        </w:rPr>
      </w:pPr>
      <w:r w:rsidRPr="005F6787">
        <w:rPr>
          <w:szCs w:val="21"/>
        </w:rPr>
        <w:t>井上典之「競争制限・国家独占と規制の首尾一貫性</w:t>
      </w:r>
      <w:r w:rsidRPr="005F6787">
        <w:rPr>
          <w:szCs w:val="21"/>
        </w:rPr>
        <w:t>─</w:t>
      </w:r>
      <w:r w:rsidRPr="005F6787">
        <w:rPr>
          <w:szCs w:val="21"/>
        </w:rPr>
        <w:t>経済活動に対する規制と比例原則</w:t>
      </w:r>
      <w:r w:rsidRPr="005F6787">
        <w:rPr>
          <w:szCs w:val="21"/>
        </w:rPr>
        <w:t>─</w:t>
      </w:r>
      <w:r w:rsidRPr="005F6787">
        <w:rPr>
          <w:szCs w:val="21"/>
        </w:rPr>
        <w:t>」『季刊</w:t>
      </w:r>
      <w:r w:rsidRPr="005F6787">
        <w:rPr>
          <w:szCs w:val="21"/>
        </w:rPr>
        <w:t xml:space="preserve"> </w:t>
      </w:r>
      <w:r w:rsidRPr="005F6787">
        <w:rPr>
          <w:szCs w:val="21"/>
        </w:rPr>
        <w:t>企業と法創造』（早稲田大学・総合研究所）「特集・憲法と経済秩序</w:t>
      </w:r>
      <w:r w:rsidRPr="005F6787">
        <w:rPr>
          <w:szCs w:val="21"/>
        </w:rPr>
        <w:t>II</w:t>
      </w:r>
      <w:r w:rsidRPr="005F6787">
        <w:rPr>
          <w:szCs w:val="21"/>
        </w:rPr>
        <w:t>」</w:t>
      </w:r>
      <w:r w:rsidRPr="005F6787">
        <w:rPr>
          <w:szCs w:val="21"/>
        </w:rPr>
        <w:t>7</w:t>
      </w:r>
      <w:r w:rsidRPr="005F6787">
        <w:rPr>
          <w:szCs w:val="21"/>
        </w:rPr>
        <w:t>巻</w:t>
      </w:r>
      <w:r w:rsidRPr="005F6787">
        <w:rPr>
          <w:szCs w:val="21"/>
        </w:rPr>
        <w:t>5</w:t>
      </w:r>
      <w:r w:rsidRPr="005F6787">
        <w:rPr>
          <w:szCs w:val="21"/>
        </w:rPr>
        <w:t>号</w:t>
      </w:r>
      <w:r w:rsidRPr="005F6787">
        <w:rPr>
          <w:szCs w:val="21"/>
        </w:rPr>
        <w:t>(</w:t>
      </w:r>
      <w:r w:rsidRPr="005F6787">
        <w:rPr>
          <w:szCs w:val="21"/>
        </w:rPr>
        <w:t>通巻</w:t>
      </w:r>
      <w:r w:rsidRPr="005F6787">
        <w:rPr>
          <w:szCs w:val="21"/>
        </w:rPr>
        <w:t>27</w:t>
      </w:r>
      <w:r w:rsidRPr="005F6787">
        <w:rPr>
          <w:szCs w:val="21"/>
        </w:rPr>
        <w:t>号</w:t>
      </w:r>
      <w:r w:rsidRPr="005F6787">
        <w:rPr>
          <w:szCs w:val="21"/>
        </w:rPr>
        <w:t>)(2011)</w:t>
      </w:r>
      <w:r w:rsidRPr="005F6787">
        <w:rPr>
          <w:szCs w:val="21"/>
        </w:rPr>
        <w:t xml:space="preserve">　</w:t>
      </w:r>
      <w:r w:rsidRPr="005F6787">
        <w:rPr>
          <w:szCs w:val="21"/>
        </w:rPr>
        <w:t>→</w:t>
      </w:r>
      <w:r w:rsidRPr="005F6787">
        <w:rPr>
          <w:szCs w:val="21"/>
        </w:rPr>
        <w:t xml:space="preserve">　井上典之</w:t>
      </w:r>
      <w:r w:rsidRPr="005F6787">
        <w:rPr>
          <w:szCs w:val="21"/>
        </w:rPr>
        <w:t>[2011]</w:t>
      </w:r>
    </w:p>
    <w:p w14:paraId="56A414BA" w14:textId="77777777" w:rsidR="002972CB" w:rsidRPr="005F6787" w:rsidRDefault="002972CB" w:rsidP="002972CB">
      <w:pPr>
        <w:jc w:val="left"/>
        <w:rPr>
          <w:szCs w:val="21"/>
        </w:rPr>
      </w:pPr>
      <w:r w:rsidRPr="005F6787">
        <w:rPr>
          <w:szCs w:val="21"/>
        </w:rPr>
        <w:t>大澤彩『不当条項規制の構造と展開』（有斐閣、</w:t>
      </w:r>
      <w:r w:rsidRPr="005F6787">
        <w:rPr>
          <w:szCs w:val="21"/>
        </w:rPr>
        <w:t>2010</w:t>
      </w:r>
      <w:r w:rsidRPr="005F6787">
        <w:rPr>
          <w:szCs w:val="21"/>
        </w:rPr>
        <w:t>）</w:t>
      </w:r>
      <w:r w:rsidRPr="005F6787">
        <w:rPr>
          <w:szCs w:val="21"/>
        </w:rPr>
        <w:t>→</w:t>
      </w:r>
      <w:r w:rsidRPr="005F6787">
        <w:rPr>
          <w:szCs w:val="21"/>
        </w:rPr>
        <w:t xml:space="preserve">　大澤彩</w:t>
      </w:r>
      <w:r w:rsidRPr="005F6787">
        <w:rPr>
          <w:szCs w:val="21"/>
        </w:rPr>
        <w:t>[2010]</w:t>
      </w:r>
    </w:p>
    <w:p w14:paraId="6FBC0580" w14:textId="77777777" w:rsidR="002972CB" w:rsidRPr="005F6787" w:rsidRDefault="002972CB" w:rsidP="002972CB">
      <w:pPr>
        <w:jc w:val="left"/>
        <w:rPr>
          <w:szCs w:val="21"/>
        </w:rPr>
      </w:pPr>
      <w:r w:rsidRPr="005F6787">
        <w:rPr>
          <w:szCs w:val="21"/>
        </w:rPr>
        <w:t>大澤彩「事業者間契約における不当条項規制をめぐる立法論的視点</w:t>
      </w:r>
      <w:r w:rsidRPr="005F6787">
        <w:rPr>
          <w:szCs w:val="21"/>
        </w:rPr>
        <w:t>(1)(2</w:t>
      </w:r>
      <w:r w:rsidRPr="005F6787">
        <w:rPr>
          <w:szCs w:val="21"/>
        </w:rPr>
        <w:t>・完</w:t>
      </w:r>
      <w:r w:rsidRPr="005F6787">
        <w:rPr>
          <w:szCs w:val="21"/>
        </w:rPr>
        <w:t>)</w:t>
      </w:r>
      <w:r w:rsidRPr="005F6787">
        <w:rPr>
          <w:szCs w:val="21"/>
        </w:rPr>
        <w:t>」法学志林</w:t>
      </w:r>
      <w:r w:rsidRPr="005F6787">
        <w:rPr>
          <w:szCs w:val="21"/>
        </w:rPr>
        <w:t>108</w:t>
      </w:r>
      <w:r w:rsidRPr="005F6787">
        <w:rPr>
          <w:szCs w:val="21"/>
        </w:rPr>
        <w:t>巻</w:t>
      </w:r>
      <w:r w:rsidRPr="005F6787">
        <w:rPr>
          <w:szCs w:val="21"/>
        </w:rPr>
        <w:t>4</w:t>
      </w:r>
      <w:r w:rsidRPr="005F6787">
        <w:rPr>
          <w:szCs w:val="21"/>
        </w:rPr>
        <w:t>号</w:t>
      </w:r>
      <w:r w:rsidRPr="005F6787">
        <w:rPr>
          <w:szCs w:val="21"/>
        </w:rPr>
        <w:t>226</w:t>
      </w:r>
      <w:r w:rsidRPr="005F6787">
        <w:rPr>
          <w:szCs w:val="21"/>
        </w:rPr>
        <w:t>頁、</w:t>
      </w:r>
      <w:r w:rsidRPr="005F6787">
        <w:rPr>
          <w:szCs w:val="21"/>
        </w:rPr>
        <w:t>109</w:t>
      </w:r>
      <w:r w:rsidRPr="005F6787">
        <w:rPr>
          <w:szCs w:val="21"/>
        </w:rPr>
        <w:t>巻</w:t>
      </w:r>
      <w:r w:rsidRPr="005F6787">
        <w:rPr>
          <w:szCs w:val="21"/>
        </w:rPr>
        <w:t>1</w:t>
      </w:r>
      <w:r w:rsidRPr="005F6787">
        <w:rPr>
          <w:szCs w:val="21"/>
        </w:rPr>
        <w:t>号</w:t>
      </w:r>
      <w:r w:rsidRPr="005F6787">
        <w:rPr>
          <w:szCs w:val="21"/>
        </w:rPr>
        <w:t>112</w:t>
      </w:r>
      <w:r w:rsidRPr="005F6787">
        <w:rPr>
          <w:szCs w:val="21"/>
        </w:rPr>
        <w:t>頁以下（</w:t>
      </w:r>
      <w:r w:rsidRPr="005F6787">
        <w:rPr>
          <w:szCs w:val="21"/>
        </w:rPr>
        <w:t>2011</w:t>
      </w:r>
      <w:r w:rsidRPr="005F6787">
        <w:rPr>
          <w:szCs w:val="21"/>
        </w:rPr>
        <w:t>）</w:t>
      </w:r>
      <w:r w:rsidRPr="005F6787">
        <w:rPr>
          <w:szCs w:val="21"/>
        </w:rPr>
        <w:t>→</w:t>
      </w:r>
      <w:r w:rsidRPr="005F6787">
        <w:rPr>
          <w:szCs w:val="21"/>
        </w:rPr>
        <w:t xml:space="preserve">　大澤彩</w:t>
      </w:r>
      <w:r w:rsidRPr="005F6787">
        <w:rPr>
          <w:szCs w:val="21"/>
        </w:rPr>
        <w:t>[2011]</w:t>
      </w:r>
    </w:p>
    <w:p w14:paraId="1B2BE8DA" w14:textId="361890F7" w:rsidR="00896F13" w:rsidRPr="005F6787" w:rsidRDefault="00896F13" w:rsidP="00896F13">
      <w:pPr>
        <w:rPr>
          <w:szCs w:val="21"/>
        </w:rPr>
      </w:pPr>
      <w:r w:rsidRPr="005F6787">
        <w:rPr>
          <w:szCs w:val="21"/>
          <w:lang w:val="x-none" w:eastAsia="x-none"/>
        </w:rPr>
        <w:t>大串</w:t>
      </w:r>
      <w:r w:rsidRPr="005F6787">
        <w:rPr>
          <w:szCs w:val="21"/>
        </w:rPr>
        <w:t>倫一</w:t>
      </w:r>
      <w:r w:rsidRPr="005F6787">
        <w:rPr>
          <w:szCs w:val="21"/>
          <w:lang w:val="x-none" w:eastAsia="x-none"/>
        </w:rPr>
        <w:t>「</w:t>
      </w:r>
      <w:r w:rsidRPr="005F6787">
        <w:rPr>
          <w:szCs w:val="21"/>
        </w:rPr>
        <w:t>契約自由の憲法保障に関する序論的考察</w:t>
      </w:r>
      <w:r w:rsidRPr="005F6787">
        <w:rPr>
          <w:szCs w:val="21"/>
        </w:rPr>
        <w:t xml:space="preserve"> : </w:t>
      </w:r>
      <w:r w:rsidRPr="005F6787">
        <w:rPr>
          <w:szCs w:val="21"/>
        </w:rPr>
        <w:t>ドイツ連邦憲法裁判所判例を素材に」北大法政ジャーナル</w:t>
      </w:r>
      <w:r w:rsidRPr="005F6787">
        <w:rPr>
          <w:szCs w:val="21"/>
        </w:rPr>
        <w:t>25</w:t>
      </w:r>
      <w:r w:rsidRPr="005F6787">
        <w:rPr>
          <w:szCs w:val="21"/>
        </w:rPr>
        <w:t>号</w:t>
      </w:r>
      <w:r w:rsidRPr="005F6787">
        <w:rPr>
          <w:szCs w:val="21"/>
        </w:rPr>
        <w:t>33</w:t>
      </w:r>
      <w:r w:rsidRPr="005F6787">
        <w:rPr>
          <w:szCs w:val="21"/>
        </w:rPr>
        <w:t>頁以下（</w:t>
      </w:r>
      <w:r w:rsidRPr="005F6787">
        <w:rPr>
          <w:szCs w:val="21"/>
        </w:rPr>
        <w:t>2018</w:t>
      </w:r>
      <w:r w:rsidRPr="005F6787">
        <w:rPr>
          <w:szCs w:val="21"/>
        </w:rPr>
        <w:t>）</w:t>
      </w:r>
    </w:p>
    <w:p w14:paraId="7E90B5A7" w14:textId="677E2241" w:rsidR="00896F13" w:rsidRPr="005F6787" w:rsidRDefault="003E7FA0" w:rsidP="00896F13">
      <w:pPr>
        <w:rPr>
          <w:rStyle w:val="a3"/>
          <w:color w:val="auto"/>
          <w:szCs w:val="21"/>
        </w:rPr>
      </w:pPr>
      <w:hyperlink r:id="rId14" w:history="1">
        <w:r w:rsidR="00896F13" w:rsidRPr="005F6787">
          <w:rPr>
            <w:rStyle w:val="a3"/>
            <w:color w:val="auto"/>
            <w:szCs w:val="21"/>
          </w:rPr>
          <w:t>https://eprints.lib.hokudai.ac.jp/dspace/handle/2115/72108</w:t>
        </w:r>
      </w:hyperlink>
    </w:p>
    <w:p w14:paraId="0DF0A905" w14:textId="77777777" w:rsidR="00861EC9" w:rsidRPr="005F6787" w:rsidRDefault="00861EC9" w:rsidP="00861EC9">
      <w:pPr>
        <w:rPr>
          <w:szCs w:val="21"/>
        </w:rPr>
      </w:pPr>
      <w:r w:rsidRPr="005F6787">
        <w:rPr>
          <w:szCs w:val="21"/>
        </w:rPr>
        <w:t>→</w:t>
      </w:r>
      <w:r w:rsidRPr="005F6787">
        <w:rPr>
          <w:szCs w:val="21"/>
        </w:rPr>
        <w:t xml:space="preserve">　</w:t>
      </w:r>
      <w:r w:rsidRPr="005F6787">
        <w:rPr>
          <w:szCs w:val="21"/>
          <w:lang w:val="x-none" w:eastAsia="x-none"/>
        </w:rPr>
        <w:t>大串</w:t>
      </w:r>
      <w:r w:rsidRPr="005F6787">
        <w:rPr>
          <w:szCs w:val="21"/>
        </w:rPr>
        <w:t>倫一</w:t>
      </w:r>
      <w:r w:rsidRPr="005F6787">
        <w:rPr>
          <w:szCs w:val="21"/>
        </w:rPr>
        <w:t>[2018]</w:t>
      </w:r>
    </w:p>
    <w:p w14:paraId="1095CC4B" w14:textId="77777777" w:rsidR="002972CB" w:rsidRPr="005F6787" w:rsidRDefault="002972CB" w:rsidP="002972CB">
      <w:pPr>
        <w:rPr>
          <w:szCs w:val="21"/>
        </w:rPr>
      </w:pPr>
      <w:r w:rsidRPr="005F6787">
        <w:rPr>
          <w:szCs w:val="21"/>
        </w:rPr>
        <w:t>大村敦志『公序良俗と契約正義』（有斐閣、</w:t>
      </w:r>
      <w:r w:rsidRPr="005F6787">
        <w:rPr>
          <w:szCs w:val="21"/>
        </w:rPr>
        <w:t>1995</w:t>
      </w:r>
      <w:r w:rsidRPr="005F6787">
        <w:rPr>
          <w:szCs w:val="21"/>
        </w:rPr>
        <w:t>）</w:t>
      </w:r>
      <w:r w:rsidRPr="005F6787">
        <w:rPr>
          <w:szCs w:val="21"/>
        </w:rPr>
        <w:t>→</w:t>
      </w:r>
      <w:r w:rsidRPr="005F6787">
        <w:rPr>
          <w:szCs w:val="21"/>
        </w:rPr>
        <w:t xml:space="preserve">　大村敦志</w:t>
      </w:r>
      <w:r w:rsidR="00FE7518" w:rsidRPr="005F6787">
        <w:rPr>
          <w:szCs w:val="21"/>
        </w:rPr>
        <w:t>[1995]</w:t>
      </w:r>
    </w:p>
    <w:p w14:paraId="5DCB2034"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か</w:t>
      </w:r>
    </w:p>
    <w:p w14:paraId="549F4541" w14:textId="77777777" w:rsidR="002972CB" w:rsidRPr="005F6787" w:rsidRDefault="002972CB" w:rsidP="002972CB">
      <w:pPr>
        <w:rPr>
          <w:szCs w:val="21"/>
        </w:rPr>
      </w:pPr>
      <w:r w:rsidRPr="005F6787">
        <w:rPr>
          <w:szCs w:val="21"/>
        </w:rPr>
        <w:t>カナーリス、クラウスーウィルヘルム</w:t>
      </w:r>
      <w:r w:rsidRPr="005F6787">
        <w:rPr>
          <w:szCs w:val="21"/>
        </w:rPr>
        <w:t>Claus-Wilhelm Canaris</w:t>
      </w:r>
      <w:r w:rsidRPr="005F6787">
        <w:rPr>
          <w:szCs w:val="21"/>
        </w:rPr>
        <w:t>（山本敬三訳）『ドイツ私法に対する基本権の影響』法学論叢</w:t>
      </w:r>
      <w:r w:rsidRPr="005F6787">
        <w:rPr>
          <w:szCs w:val="21"/>
        </w:rPr>
        <w:t>142</w:t>
      </w:r>
      <w:r w:rsidRPr="005F6787">
        <w:rPr>
          <w:szCs w:val="21"/>
        </w:rPr>
        <w:t>巻</w:t>
      </w:r>
      <w:r w:rsidRPr="005F6787">
        <w:rPr>
          <w:szCs w:val="21"/>
        </w:rPr>
        <w:t>4</w:t>
      </w:r>
      <w:r w:rsidRPr="005F6787">
        <w:rPr>
          <w:szCs w:val="21"/>
        </w:rPr>
        <w:t>号</w:t>
      </w:r>
      <w:r w:rsidRPr="005F6787">
        <w:rPr>
          <w:szCs w:val="21"/>
        </w:rPr>
        <w:t>1</w:t>
      </w:r>
      <w:r w:rsidRPr="005F6787">
        <w:rPr>
          <w:szCs w:val="21"/>
        </w:rPr>
        <w:t>頁以下（</w:t>
      </w:r>
      <w:r w:rsidRPr="005F6787">
        <w:rPr>
          <w:szCs w:val="21"/>
        </w:rPr>
        <w:t>1998</w:t>
      </w:r>
      <w:r w:rsidRPr="005F6787">
        <w:rPr>
          <w:szCs w:val="21"/>
        </w:rPr>
        <w:t>年）</w:t>
      </w:r>
      <w:r w:rsidRPr="005F6787">
        <w:rPr>
          <w:szCs w:val="21"/>
        </w:rPr>
        <w:t>→</w:t>
      </w:r>
      <w:r w:rsidRPr="005F6787">
        <w:rPr>
          <w:szCs w:val="21"/>
        </w:rPr>
        <w:t xml:space="preserve">　カナーリス</w:t>
      </w:r>
      <w:r w:rsidRPr="005F6787">
        <w:rPr>
          <w:szCs w:val="21"/>
        </w:rPr>
        <w:t>[1998]</w:t>
      </w:r>
    </w:p>
    <w:p w14:paraId="7D30AAB2" w14:textId="77777777" w:rsidR="002972CB" w:rsidRPr="005F6787" w:rsidRDefault="002972CB" w:rsidP="002972CB">
      <w:pPr>
        <w:rPr>
          <w:szCs w:val="21"/>
        </w:rPr>
      </w:pPr>
      <w:r w:rsidRPr="005F6787">
        <w:rPr>
          <w:szCs w:val="21"/>
        </w:rPr>
        <w:t>河上正二『約款規制の法理』（有斐閣、</w:t>
      </w:r>
      <w:r w:rsidRPr="005F6787">
        <w:rPr>
          <w:szCs w:val="21"/>
        </w:rPr>
        <w:t>1988</w:t>
      </w:r>
      <w:r w:rsidRPr="005F6787">
        <w:rPr>
          <w:szCs w:val="21"/>
        </w:rPr>
        <w:t>）</w:t>
      </w:r>
      <w:r w:rsidRPr="005F6787">
        <w:rPr>
          <w:szCs w:val="21"/>
        </w:rPr>
        <w:t>→</w:t>
      </w:r>
      <w:r w:rsidRPr="005F6787">
        <w:rPr>
          <w:szCs w:val="21"/>
        </w:rPr>
        <w:t xml:space="preserve">　河上正二</w:t>
      </w:r>
      <w:r w:rsidRPr="005F6787">
        <w:rPr>
          <w:szCs w:val="21"/>
        </w:rPr>
        <w:t xml:space="preserve">[1988] </w:t>
      </w:r>
    </w:p>
    <w:p w14:paraId="4F1177EF" w14:textId="77777777" w:rsidR="002972CB" w:rsidRPr="005F6787" w:rsidRDefault="002972CB" w:rsidP="002972CB">
      <w:pPr>
        <w:rPr>
          <w:szCs w:val="21"/>
        </w:rPr>
      </w:pPr>
      <w:r w:rsidRPr="005F6787">
        <w:rPr>
          <w:szCs w:val="21"/>
        </w:rPr>
        <w:t>韓都律「優越的地位の濫用（</w:t>
      </w:r>
      <w:r w:rsidR="00FE7518" w:rsidRPr="005F6787">
        <w:rPr>
          <w:szCs w:val="21"/>
        </w:rPr>
        <w:t>1</w:t>
      </w:r>
      <w:r w:rsidRPr="005F6787">
        <w:rPr>
          <w:szCs w:val="21"/>
        </w:rPr>
        <w:t>）（</w:t>
      </w:r>
      <w:r w:rsidR="00FE7518" w:rsidRPr="005F6787">
        <w:rPr>
          <w:szCs w:val="21"/>
        </w:rPr>
        <w:t>2</w:t>
      </w:r>
      <w:r w:rsidRPr="005F6787">
        <w:rPr>
          <w:szCs w:val="21"/>
        </w:rPr>
        <w:t>・完）」立教法学</w:t>
      </w:r>
      <w:r w:rsidR="00FE7518" w:rsidRPr="005F6787">
        <w:rPr>
          <w:szCs w:val="21"/>
        </w:rPr>
        <w:t>84</w:t>
      </w:r>
      <w:r w:rsidRPr="005F6787">
        <w:rPr>
          <w:szCs w:val="21"/>
        </w:rPr>
        <w:t>号</w:t>
      </w:r>
      <w:r w:rsidR="00FE7518" w:rsidRPr="005F6787">
        <w:rPr>
          <w:szCs w:val="21"/>
        </w:rPr>
        <w:t>94</w:t>
      </w:r>
      <w:r w:rsidRPr="005F6787">
        <w:rPr>
          <w:szCs w:val="21"/>
        </w:rPr>
        <w:t>頁以下、</w:t>
      </w:r>
      <w:r w:rsidR="00FE7518" w:rsidRPr="005F6787">
        <w:rPr>
          <w:szCs w:val="21"/>
        </w:rPr>
        <w:t>85</w:t>
      </w:r>
      <w:r w:rsidRPr="005F6787">
        <w:rPr>
          <w:szCs w:val="21"/>
        </w:rPr>
        <w:t>号</w:t>
      </w:r>
      <w:r w:rsidR="00FD34D4" w:rsidRPr="005F6787">
        <w:rPr>
          <w:szCs w:val="21"/>
        </w:rPr>
        <w:t>224</w:t>
      </w:r>
      <w:r w:rsidRPr="005F6787">
        <w:rPr>
          <w:szCs w:val="21"/>
        </w:rPr>
        <w:t>頁以下（</w:t>
      </w:r>
      <w:r w:rsidR="00FD34D4" w:rsidRPr="005F6787">
        <w:rPr>
          <w:szCs w:val="21"/>
        </w:rPr>
        <w:t>2012</w:t>
      </w:r>
      <w:r w:rsidRPr="005F6787">
        <w:rPr>
          <w:szCs w:val="21"/>
        </w:rPr>
        <w:t>）</w:t>
      </w:r>
      <w:r w:rsidRPr="005F6787">
        <w:rPr>
          <w:szCs w:val="21"/>
        </w:rPr>
        <w:t>→</w:t>
      </w:r>
      <w:r w:rsidRPr="005F6787">
        <w:rPr>
          <w:szCs w:val="21"/>
        </w:rPr>
        <w:t xml:space="preserve">　韓都律</w:t>
      </w:r>
      <w:r w:rsidR="00FD34D4" w:rsidRPr="005F6787">
        <w:rPr>
          <w:szCs w:val="21"/>
        </w:rPr>
        <w:t>[2012]</w:t>
      </w:r>
    </w:p>
    <w:p w14:paraId="6C32DCAB" w14:textId="77777777" w:rsidR="002972CB" w:rsidRPr="005F6787" w:rsidRDefault="002972CB" w:rsidP="002972CB">
      <w:pPr>
        <w:rPr>
          <w:szCs w:val="21"/>
        </w:rPr>
      </w:pPr>
      <w:r w:rsidRPr="005F6787">
        <w:rPr>
          <w:szCs w:val="21"/>
        </w:rPr>
        <w:t>小山剛「ドイツの基本権解釈における国の保護義務</w:t>
      </w:r>
      <w:r w:rsidRPr="005F6787">
        <w:rPr>
          <w:szCs w:val="21"/>
        </w:rPr>
        <w:t>―</w:t>
      </w:r>
      <w:r w:rsidRPr="005F6787">
        <w:rPr>
          <w:szCs w:val="21"/>
        </w:rPr>
        <w:t>社会権・防御権と保護義務」慶応大学法学政治学論究</w:t>
      </w:r>
      <w:r w:rsidRPr="005F6787">
        <w:rPr>
          <w:szCs w:val="21"/>
        </w:rPr>
        <w:t>7</w:t>
      </w:r>
      <w:r w:rsidRPr="005F6787">
        <w:rPr>
          <w:szCs w:val="21"/>
        </w:rPr>
        <w:t>号</w:t>
      </w:r>
      <w:r w:rsidRPr="005F6787">
        <w:rPr>
          <w:szCs w:val="21"/>
        </w:rPr>
        <w:t>47</w:t>
      </w:r>
      <w:r w:rsidRPr="005F6787">
        <w:rPr>
          <w:szCs w:val="21"/>
        </w:rPr>
        <w:t>頁以下（</w:t>
      </w:r>
      <w:r w:rsidRPr="005F6787">
        <w:rPr>
          <w:szCs w:val="21"/>
        </w:rPr>
        <w:t>1990</w:t>
      </w:r>
      <w:r w:rsidRPr="005F6787">
        <w:rPr>
          <w:szCs w:val="21"/>
        </w:rPr>
        <w:t>年）</w:t>
      </w:r>
      <w:r w:rsidRPr="005F6787">
        <w:rPr>
          <w:szCs w:val="21"/>
        </w:rPr>
        <w:t xml:space="preserve">→ </w:t>
      </w:r>
      <w:r w:rsidRPr="005F6787">
        <w:rPr>
          <w:szCs w:val="21"/>
        </w:rPr>
        <w:t>小山剛</w:t>
      </w:r>
      <w:r w:rsidRPr="005F6787">
        <w:rPr>
          <w:szCs w:val="21"/>
        </w:rPr>
        <w:t>[1990]</w:t>
      </w:r>
    </w:p>
    <w:p w14:paraId="76488BF2" w14:textId="77777777" w:rsidR="002972CB" w:rsidRPr="005F6787" w:rsidRDefault="002972CB" w:rsidP="002972CB">
      <w:pPr>
        <w:rPr>
          <w:szCs w:val="21"/>
        </w:rPr>
      </w:pPr>
      <w:r w:rsidRPr="005F6787">
        <w:rPr>
          <w:szCs w:val="21"/>
        </w:rPr>
        <w:t>小山剛『基本権保護の法理』（名城大学法学会、</w:t>
      </w:r>
      <w:r w:rsidRPr="005F6787">
        <w:rPr>
          <w:szCs w:val="21"/>
        </w:rPr>
        <w:t>1998</w:t>
      </w:r>
      <w:r w:rsidRPr="005F6787">
        <w:rPr>
          <w:szCs w:val="21"/>
        </w:rPr>
        <w:t>）</w:t>
      </w:r>
      <w:r w:rsidRPr="005F6787">
        <w:rPr>
          <w:szCs w:val="21"/>
        </w:rPr>
        <w:t xml:space="preserve">→ </w:t>
      </w:r>
      <w:r w:rsidRPr="005F6787">
        <w:rPr>
          <w:szCs w:val="21"/>
        </w:rPr>
        <w:t>小山剛</w:t>
      </w:r>
      <w:r w:rsidRPr="005F6787">
        <w:rPr>
          <w:szCs w:val="21"/>
        </w:rPr>
        <w:t>[1998]</w:t>
      </w:r>
    </w:p>
    <w:p w14:paraId="582DBE9F" w14:textId="77777777" w:rsidR="002972CB" w:rsidRPr="005F6787" w:rsidRDefault="002972CB" w:rsidP="002972CB">
      <w:pPr>
        <w:rPr>
          <w:szCs w:val="21"/>
        </w:rPr>
      </w:pPr>
      <w:r w:rsidRPr="005F6787">
        <w:rPr>
          <w:szCs w:val="21"/>
        </w:rPr>
        <w:t>小山剛『基本権の内容形成』（尚学社、</w:t>
      </w:r>
      <w:r w:rsidRPr="005F6787">
        <w:rPr>
          <w:szCs w:val="21"/>
        </w:rPr>
        <w:t>2004</w:t>
      </w:r>
      <w:r w:rsidRPr="005F6787">
        <w:rPr>
          <w:szCs w:val="21"/>
        </w:rPr>
        <w:t>年）</w:t>
      </w:r>
      <w:r w:rsidRPr="005F6787">
        <w:rPr>
          <w:szCs w:val="21"/>
        </w:rPr>
        <w:t>→</w:t>
      </w:r>
      <w:r w:rsidRPr="005F6787">
        <w:rPr>
          <w:szCs w:val="21"/>
        </w:rPr>
        <w:t xml:space="preserve">　小山剛</w:t>
      </w:r>
      <w:r w:rsidRPr="005F6787">
        <w:rPr>
          <w:szCs w:val="21"/>
        </w:rPr>
        <w:t>[2004]</w:t>
      </w:r>
    </w:p>
    <w:p w14:paraId="6DF6AF67" w14:textId="77777777" w:rsidR="002972CB" w:rsidRPr="005F6787" w:rsidRDefault="002972CB" w:rsidP="002972CB">
      <w:pPr>
        <w:rPr>
          <w:szCs w:val="21"/>
        </w:rPr>
      </w:pPr>
      <w:r w:rsidRPr="005F6787">
        <w:rPr>
          <w:szCs w:val="21"/>
        </w:rPr>
        <w:t>小山剛「『安全』と『情報自己決定権』」法律時報</w:t>
      </w:r>
      <w:r w:rsidRPr="005F6787">
        <w:rPr>
          <w:szCs w:val="21"/>
        </w:rPr>
        <w:t xml:space="preserve"> 82 </w:t>
      </w:r>
      <w:r w:rsidRPr="005F6787">
        <w:rPr>
          <w:szCs w:val="21"/>
        </w:rPr>
        <w:t>巻</w:t>
      </w:r>
      <w:r w:rsidRPr="005F6787">
        <w:rPr>
          <w:szCs w:val="21"/>
        </w:rPr>
        <w:t xml:space="preserve"> 2 </w:t>
      </w:r>
      <w:r w:rsidRPr="005F6787">
        <w:rPr>
          <w:szCs w:val="21"/>
        </w:rPr>
        <w:t>号</w:t>
      </w:r>
      <w:r w:rsidRPr="005F6787">
        <w:rPr>
          <w:szCs w:val="21"/>
        </w:rPr>
        <w:t xml:space="preserve">99 </w:t>
      </w:r>
      <w:r w:rsidRPr="005F6787">
        <w:rPr>
          <w:szCs w:val="21"/>
        </w:rPr>
        <w:t>頁以下（</w:t>
      </w:r>
      <w:r w:rsidRPr="005F6787">
        <w:rPr>
          <w:szCs w:val="21"/>
        </w:rPr>
        <w:t>2010</w:t>
      </w:r>
      <w:r w:rsidRPr="005F6787">
        <w:rPr>
          <w:szCs w:val="21"/>
        </w:rPr>
        <w:t>）</w:t>
      </w:r>
      <w:r w:rsidRPr="005F6787">
        <w:rPr>
          <w:szCs w:val="21"/>
        </w:rPr>
        <w:t>→</w:t>
      </w:r>
      <w:r w:rsidRPr="005F6787">
        <w:rPr>
          <w:szCs w:val="21"/>
        </w:rPr>
        <w:t xml:space="preserve">　小山剛</w:t>
      </w:r>
      <w:r w:rsidRPr="005F6787">
        <w:rPr>
          <w:szCs w:val="21"/>
        </w:rPr>
        <w:t>[2010]</w:t>
      </w:r>
    </w:p>
    <w:p w14:paraId="7BA72384" w14:textId="77777777" w:rsidR="00A51020" w:rsidRPr="005F6787" w:rsidRDefault="00A51020" w:rsidP="00A51020">
      <w:pPr>
        <w:rPr>
          <w:rFonts w:eastAsia="ＭＳ 明朝"/>
        </w:rPr>
      </w:pPr>
      <w:bookmarkStart w:id="22" w:name="_Hlk58749161"/>
      <w:r w:rsidRPr="005F6787">
        <w:rPr>
          <w:rFonts w:eastAsia="ＭＳ 明朝"/>
        </w:rPr>
        <w:t>小山剛「なぜ『情報自己決定権』か」全国憲法研究会編『日本国憲法の継承と発展』（三省堂，</w:t>
      </w:r>
      <w:r w:rsidRPr="005F6787">
        <w:rPr>
          <w:rFonts w:eastAsia="ＭＳ 明朝"/>
        </w:rPr>
        <w:t>2015</w:t>
      </w:r>
      <w:r w:rsidRPr="005F6787">
        <w:rPr>
          <w:rFonts w:eastAsia="ＭＳ 明朝"/>
        </w:rPr>
        <w:t>年）</w:t>
      </w:r>
      <w:r w:rsidRPr="005F6787">
        <w:rPr>
          <w:rFonts w:eastAsia="ＭＳ 明朝"/>
        </w:rPr>
        <w:t>328</w:t>
      </w:r>
      <w:r w:rsidRPr="005F6787">
        <w:rPr>
          <w:rFonts w:eastAsia="ＭＳ 明朝"/>
        </w:rPr>
        <w:t>頁</w:t>
      </w:r>
      <w:r w:rsidRPr="005F6787">
        <w:rPr>
          <w:rFonts w:eastAsia="ＭＳ 明朝"/>
        </w:rPr>
        <w:t>→</w:t>
      </w:r>
      <w:r w:rsidRPr="005F6787">
        <w:rPr>
          <w:rFonts w:eastAsia="ＭＳ 明朝"/>
        </w:rPr>
        <w:t xml:space="preserve">　小山剛</w:t>
      </w:r>
      <w:r w:rsidRPr="005F6787">
        <w:rPr>
          <w:rFonts w:eastAsia="ＭＳ 明朝"/>
        </w:rPr>
        <w:t>[2015]</w:t>
      </w:r>
    </w:p>
    <w:p w14:paraId="560A6CDF" w14:textId="77777777" w:rsidR="00A51020" w:rsidRPr="005F6787" w:rsidRDefault="00A51020" w:rsidP="00A51020">
      <w:pPr>
        <w:rPr>
          <w:rFonts w:eastAsia="ＭＳ 明朝"/>
        </w:rPr>
      </w:pPr>
      <w:r w:rsidRPr="005F6787">
        <w:rPr>
          <w:rFonts w:eastAsia="ＭＳ 明朝"/>
        </w:rPr>
        <w:t>小山剛『「憲法上の権利」の作法』（尚学社、第</w:t>
      </w:r>
      <w:r w:rsidRPr="005F6787">
        <w:rPr>
          <w:rFonts w:eastAsia="ＭＳ 明朝"/>
        </w:rPr>
        <w:t>3</w:t>
      </w:r>
      <w:r w:rsidRPr="005F6787">
        <w:rPr>
          <w:rFonts w:eastAsia="ＭＳ 明朝"/>
        </w:rPr>
        <w:t>版、</w:t>
      </w:r>
      <w:r w:rsidRPr="005F6787">
        <w:rPr>
          <w:rFonts w:eastAsia="ＭＳ 明朝"/>
        </w:rPr>
        <w:t>2016</w:t>
      </w:r>
      <w:r w:rsidRPr="005F6787">
        <w:rPr>
          <w:rFonts w:eastAsia="ＭＳ 明朝"/>
        </w:rPr>
        <w:t>）</w:t>
      </w:r>
      <w:r w:rsidRPr="005F6787">
        <w:rPr>
          <w:rFonts w:eastAsia="ＭＳ 明朝"/>
        </w:rPr>
        <w:t>→</w:t>
      </w:r>
      <w:r w:rsidRPr="005F6787">
        <w:rPr>
          <w:rFonts w:eastAsia="ＭＳ 明朝"/>
        </w:rPr>
        <w:t xml:space="preserve">　小山剛</w:t>
      </w:r>
      <w:r w:rsidRPr="005F6787">
        <w:rPr>
          <w:rFonts w:eastAsia="ＭＳ 明朝"/>
        </w:rPr>
        <w:t>[2016]</w:t>
      </w:r>
    </w:p>
    <w:bookmarkEnd w:id="22"/>
    <w:p w14:paraId="2BB3F3DC" w14:textId="77777777" w:rsidR="002972CB" w:rsidRPr="005F6787" w:rsidRDefault="002972CB" w:rsidP="002972CB">
      <w:pPr>
        <w:rPr>
          <w:szCs w:val="21"/>
        </w:rPr>
      </w:pPr>
      <w:r w:rsidRPr="005F6787">
        <w:rPr>
          <w:szCs w:val="21"/>
        </w:rPr>
        <w:t>國分典子</w:t>
      </w:r>
      <w:r w:rsidRPr="005F6787">
        <w:rPr>
          <w:szCs w:val="21"/>
          <w:shd w:val="clear" w:color="auto" w:fill="FFFFFF"/>
        </w:rPr>
        <w:t>「民事裁判所による保証契約の内容統制と基本権規定の私人間効力</w:t>
      </w:r>
      <w:r w:rsidRPr="005F6787">
        <w:rPr>
          <w:szCs w:val="21"/>
          <w:shd w:val="clear" w:color="auto" w:fill="FFFFFF"/>
        </w:rPr>
        <w:t xml:space="preserve">---- </w:t>
      </w:r>
      <w:r w:rsidRPr="005F6787">
        <w:rPr>
          <w:szCs w:val="21"/>
          <w:shd w:val="clear" w:color="auto" w:fill="FFFFFF"/>
        </w:rPr>
        <w:t>連帯保証決</w:t>
      </w:r>
      <w:r w:rsidRPr="005F6787">
        <w:rPr>
          <w:szCs w:val="21"/>
          <w:shd w:val="clear" w:color="auto" w:fill="FFFFFF"/>
        </w:rPr>
        <w:lastRenderedPageBreak/>
        <w:t>定」ドイツ憲法判例研究会</w:t>
      </w:r>
      <w:r w:rsidRPr="005F6787">
        <w:rPr>
          <w:rFonts w:cs="Arial"/>
          <w:szCs w:val="21"/>
          <w:shd w:val="clear" w:color="auto" w:fill="FFFFFF"/>
        </w:rPr>
        <w:t>（</w:t>
      </w:r>
      <w:r w:rsidRPr="005F6787">
        <w:rPr>
          <w:szCs w:val="21"/>
          <w:shd w:val="clear" w:color="auto" w:fill="FFFFFF"/>
        </w:rPr>
        <w:t>編</w:t>
      </w:r>
      <w:r w:rsidRPr="005F6787">
        <w:rPr>
          <w:rFonts w:cs="Arial"/>
          <w:szCs w:val="21"/>
          <w:shd w:val="clear" w:color="auto" w:fill="FFFFFF"/>
        </w:rPr>
        <w:t>)</w:t>
      </w:r>
      <w:r w:rsidRPr="005F6787">
        <w:rPr>
          <w:szCs w:val="21"/>
        </w:rPr>
        <w:t xml:space="preserve"> </w:t>
      </w:r>
      <w:r w:rsidRPr="005F6787">
        <w:rPr>
          <w:szCs w:val="21"/>
        </w:rPr>
        <w:t>『ドイツの憲法判例</w:t>
      </w:r>
      <w:r w:rsidRPr="005F6787">
        <w:rPr>
          <w:szCs w:val="21"/>
        </w:rPr>
        <w:t>2</w:t>
      </w:r>
      <w:r w:rsidRPr="005F6787">
        <w:rPr>
          <w:szCs w:val="21"/>
        </w:rPr>
        <w:t>』（信山社、第２版、</w:t>
      </w:r>
      <w:r w:rsidRPr="005F6787">
        <w:rPr>
          <w:szCs w:val="21"/>
        </w:rPr>
        <w:t>2006</w:t>
      </w:r>
      <w:r w:rsidRPr="005F6787">
        <w:rPr>
          <w:szCs w:val="21"/>
        </w:rPr>
        <w:t>年）</w:t>
      </w:r>
      <w:r w:rsidRPr="005F6787">
        <w:rPr>
          <w:szCs w:val="21"/>
        </w:rPr>
        <w:t>54</w:t>
      </w:r>
      <w:r w:rsidRPr="005F6787">
        <w:rPr>
          <w:szCs w:val="21"/>
        </w:rPr>
        <w:t>頁以下</w:t>
      </w:r>
      <w:r w:rsidRPr="005F6787">
        <w:rPr>
          <w:szCs w:val="21"/>
          <w:shd w:val="clear" w:color="auto" w:fill="FFFFFF"/>
        </w:rPr>
        <w:t>→</w:t>
      </w:r>
      <w:r w:rsidRPr="005F6787">
        <w:rPr>
          <w:szCs w:val="21"/>
          <w:shd w:val="clear" w:color="auto" w:fill="FFFFFF"/>
        </w:rPr>
        <w:t xml:space="preserve">　國分典子</w:t>
      </w:r>
      <w:r w:rsidRPr="005F6787">
        <w:rPr>
          <w:szCs w:val="21"/>
          <w:shd w:val="clear" w:color="auto" w:fill="FFFFFF"/>
        </w:rPr>
        <w:t>[2006]</w:t>
      </w:r>
    </w:p>
    <w:p w14:paraId="319F1910" w14:textId="288699D1" w:rsidR="002972CB" w:rsidRPr="005F6787" w:rsidRDefault="002972CB" w:rsidP="00FC522D">
      <w:pPr>
        <w:rPr>
          <w:szCs w:val="21"/>
        </w:rPr>
      </w:pPr>
      <w:r w:rsidRPr="005F6787">
        <w:rPr>
          <w:szCs w:val="21"/>
        </w:rPr>
        <w:t>伊永大輔「プライバシー侵害は競争法違反となるか」法律時報</w:t>
      </w:r>
      <w:r w:rsidRPr="005F6787">
        <w:rPr>
          <w:szCs w:val="21"/>
        </w:rPr>
        <w:t>91</w:t>
      </w:r>
      <w:r w:rsidRPr="005F6787">
        <w:rPr>
          <w:szCs w:val="21"/>
        </w:rPr>
        <w:t>巻</w:t>
      </w:r>
      <w:r w:rsidRPr="005F6787">
        <w:rPr>
          <w:szCs w:val="21"/>
        </w:rPr>
        <w:t>5</w:t>
      </w:r>
      <w:r w:rsidRPr="005F6787">
        <w:rPr>
          <w:szCs w:val="21"/>
        </w:rPr>
        <w:t>号（通巻</w:t>
      </w:r>
      <w:r w:rsidRPr="005F6787">
        <w:rPr>
          <w:szCs w:val="21"/>
        </w:rPr>
        <w:t>1137</w:t>
      </w:r>
      <w:r w:rsidRPr="005F6787">
        <w:rPr>
          <w:szCs w:val="21"/>
        </w:rPr>
        <w:t>号）</w:t>
      </w:r>
      <w:r w:rsidRPr="005F6787">
        <w:rPr>
          <w:szCs w:val="21"/>
        </w:rPr>
        <w:t>106</w:t>
      </w:r>
      <w:r w:rsidRPr="005F6787">
        <w:rPr>
          <w:szCs w:val="21"/>
        </w:rPr>
        <w:t>頁以下</w:t>
      </w:r>
      <w:r w:rsidRPr="005F6787">
        <w:rPr>
          <w:szCs w:val="21"/>
        </w:rPr>
        <w:t>(2019)→</w:t>
      </w:r>
      <w:r w:rsidRPr="005F6787">
        <w:rPr>
          <w:szCs w:val="21"/>
        </w:rPr>
        <w:t xml:space="preserve">　伊永大輔</w:t>
      </w:r>
      <w:r w:rsidRPr="005F6787">
        <w:rPr>
          <w:szCs w:val="21"/>
        </w:rPr>
        <w:t>[2019]</w:t>
      </w:r>
    </w:p>
    <w:p w14:paraId="20E4A161" w14:textId="007D7FE1" w:rsidR="00216B76" w:rsidRPr="005F6787" w:rsidRDefault="00216B76" w:rsidP="00216B76">
      <w:pPr>
        <w:rPr>
          <w:szCs w:val="21"/>
        </w:rPr>
      </w:pPr>
      <w:bookmarkStart w:id="23" w:name="_Hlk58749173"/>
      <w:r w:rsidRPr="005F6787">
        <w:t>伊永大輔「ドイツ連邦カルテル庁による</w:t>
      </w:r>
      <w:r w:rsidRPr="005F6787">
        <w:t xml:space="preserve">Facebook </w:t>
      </w:r>
      <w:r w:rsidRPr="005F6787">
        <w:t>事件決定の法的論点</w:t>
      </w:r>
      <w:r w:rsidRPr="005F6787">
        <w:t>─</w:t>
      </w:r>
      <w:r w:rsidRPr="005F6787">
        <w:t>デュッセルドルフ高等裁判所が示した疑問が意味するもの」公正取引</w:t>
      </w:r>
      <w:r w:rsidRPr="005F6787">
        <w:t>831</w:t>
      </w:r>
      <w:r w:rsidRPr="005F6787">
        <w:t>号</w:t>
      </w:r>
      <w:r w:rsidRPr="005F6787">
        <w:t>61</w:t>
      </w:r>
      <w:r w:rsidRPr="005F6787">
        <w:t>頁以下（</w:t>
      </w:r>
      <w:r w:rsidRPr="005F6787">
        <w:t>2020</w:t>
      </w:r>
      <w:r w:rsidRPr="005F6787">
        <w:t>）</w:t>
      </w:r>
      <w:r w:rsidRPr="005F6787">
        <w:rPr>
          <w:szCs w:val="21"/>
        </w:rPr>
        <w:t>→</w:t>
      </w:r>
      <w:r w:rsidRPr="005F6787">
        <w:rPr>
          <w:szCs w:val="21"/>
        </w:rPr>
        <w:t xml:space="preserve">　伊永大輔</w:t>
      </w:r>
      <w:r w:rsidRPr="005F6787">
        <w:rPr>
          <w:szCs w:val="21"/>
        </w:rPr>
        <w:t>[2020]</w:t>
      </w:r>
    </w:p>
    <w:bookmarkEnd w:id="23"/>
    <w:p w14:paraId="4EC7A198" w14:textId="77777777" w:rsidR="00216B76" w:rsidRPr="005F6787" w:rsidRDefault="00216B76" w:rsidP="00FC522D">
      <w:pPr>
        <w:rPr>
          <w:rFonts w:cs="Arial"/>
          <w:kern w:val="0"/>
          <w:szCs w:val="21"/>
        </w:rPr>
      </w:pPr>
    </w:p>
    <w:p w14:paraId="3F9141FF"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さ</w:t>
      </w:r>
    </w:p>
    <w:p w14:paraId="429D9C8B" w14:textId="77777777" w:rsidR="002972CB" w:rsidRPr="005F6787" w:rsidRDefault="002972CB" w:rsidP="002972CB">
      <w:pPr>
        <w:jc w:val="left"/>
        <w:rPr>
          <w:szCs w:val="21"/>
        </w:rPr>
      </w:pPr>
      <w:r w:rsidRPr="005F6787">
        <w:rPr>
          <w:szCs w:val="21"/>
        </w:rPr>
        <w:t>笹倉秀夫「自己決定権とは何か」松本博之＝西谷敏（編）『現代社会と自己決定権』</w:t>
      </w:r>
      <w:r w:rsidRPr="005F6787">
        <w:rPr>
          <w:szCs w:val="21"/>
        </w:rPr>
        <w:t>(</w:t>
      </w:r>
      <w:r w:rsidRPr="005F6787">
        <w:rPr>
          <w:szCs w:val="21"/>
        </w:rPr>
        <w:t>信山社、</w:t>
      </w:r>
      <w:r w:rsidRPr="005F6787">
        <w:rPr>
          <w:szCs w:val="21"/>
        </w:rPr>
        <w:t>1997)4</w:t>
      </w:r>
      <w:r w:rsidRPr="005F6787">
        <w:rPr>
          <w:szCs w:val="21"/>
        </w:rPr>
        <w:t>頁以下</w:t>
      </w:r>
      <w:r w:rsidRPr="005F6787">
        <w:rPr>
          <w:szCs w:val="21"/>
        </w:rPr>
        <w:t>→</w:t>
      </w:r>
      <w:r w:rsidRPr="005F6787">
        <w:rPr>
          <w:szCs w:val="21"/>
        </w:rPr>
        <w:t xml:space="preserve">　笹倉秀夫</w:t>
      </w:r>
      <w:r w:rsidRPr="005F6787">
        <w:rPr>
          <w:szCs w:val="21"/>
        </w:rPr>
        <w:t>[2001]</w:t>
      </w:r>
    </w:p>
    <w:p w14:paraId="338B5039" w14:textId="3E616496" w:rsidR="002972CB" w:rsidRPr="005F6787" w:rsidRDefault="002972CB" w:rsidP="002972CB">
      <w:pPr>
        <w:rPr>
          <w:szCs w:val="21"/>
        </w:rPr>
      </w:pPr>
      <w:r w:rsidRPr="005F6787">
        <w:rPr>
          <w:szCs w:val="21"/>
        </w:rPr>
        <w:t>佐成実「比較法資料（ドイツ約款規制法全訳）」（</w:t>
      </w:r>
      <w:r w:rsidRPr="005F6787">
        <w:rPr>
          <w:szCs w:val="21"/>
        </w:rPr>
        <w:t>2014</w:t>
      </w:r>
      <w:r w:rsidRPr="005F6787">
        <w:rPr>
          <w:szCs w:val="21"/>
        </w:rPr>
        <w:t>）</w:t>
      </w:r>
    </w:p>
    <w:p w14:paraId="02915861" w14:textId="395CA7BC" w:rsidR="002972CB" w:rsidRPr="005F6787" w:rsidRDefault="003E7FA0" w:rsidP="002972CB">
      <w:pPr>
        <w:rPr>
          <w:rStyle w:val="a3"/>
          <w:color w:val="auto"/>
          <w:szCs w:val="21"/>
        </w:rPr>
      </w:pPr>
      <w:hyperlink r:id="rId15" w:history="1">
        <w:r w:rsidR="002972CB" w:rsidRPr="005F6787">
          <w:rPr>
            <w:rStyle w:val="a3"/>
            <w:color w:val="auto"/>
            <w:szCs w:val="21"/>
          </w:rPr>
          <w:t>http://www.moj.go.jp/content/000121270.pdf</w:t>
        </w:r>
      </w:hyperlink>
    </w:p>
    <w:p w14:paraId="329B9796" w14:textId="1613297D" w:rsidR="00861EC9" w:rsidRPr="005F6787" w:rsidRDefault="00861EC9" w:rsidP="002972CB">
      <w:pPr>
        <w:rPr>
          <w:szCs w:val="21"/>
        </w:rPr>
      </w:pPr>
      <w:r w:rsidRPr="005F6787">
        <w:rPr>
          <w:szCs w:val="21"/>
        </w:rPr>
        <w:t>→</w:t>
      </w:r>
      <w:r w:rsidRPr="005F6787">
        <w:rPr>
          <w:szCs w:val="21"/>
        </w:rPr>
        <w:t xml:space="preserve">　佐成実</w:t>
      </w:r>
      <w:r w:rsidRPr="005F6787">
        <w:rPr>
          <w:szCs w:val="21"/>
        </w:rPr>
        <w:t>[2014]</w:t>
      </w:r>
    </w:p>
    <w:p w14:paraId="1CF82129" w14:textId="77777777" w:rsidR="002972CB" w:rsidRPr="005F6787" w:rsidRDefault="002972CB" w:rsidP="002972CB">
      <w:pPr>
        <w:rPr>
          <w:szCs w:val="21"/>
        </w:rPr>
      </w:pPr>
      <w:r w:rsidRPr="005F6787">
        <w:rPr>
          <w:szCs w:val="21"/>
        </w:rPr>
        <w:t>杉本武重＝川島章裕「ドイツ連邦カルテル庁による</w:t>
      </w:r>
      <w:r w:rsidRPr="005F6787">
        <w:rPr>
          <w:szCs w:val="21"/>
        </w:rPr>
        <w:t>Facebook</w:t>
      </w:r>
      <w:r w:rsidRPr="005F6787">
        <w:rPr>
          <w:szCs w:val="21"/>
        </w:rPr>
        <w:t>に対するドイツ競争法上の決定」国際商事法務</w:t>
      </w:r>
      <w:r w:rsidRPr="005F6787">
        <w:rPr>
          <w:szCs w:val="21"/>
        </w:rPr>
        <w:t>47</w:t>
      </w:r>
      <w:r w:rsidRPr="005F6787">
        <w:rPr>
          <w:szCs w:val="21"/>
        </w:rPr>
        <w:t>巻</w:t>
      </w:r>
      <w:r w:rsidRPr="005F6787">
        <w:rPr>
          <w:szCs w:val="21"/>
        </w:rPr>
        <w:t>4</w:t>
      </w:r>
      <w:r w:rsidRPr="005F6787">
        <w:rPr>
          <w:szCs w:val="21"/>
        </w:rPr>
        <w:t>号</w:t>
      </w:r>
      <w:r w:rsidRPr="005F6787">
        <w:rPr>
          <w:szCs w:val="21"/>
        </w:rPr>
        <w:t>510</w:t>
      </w:r>
      <w:r w:rsidRPr="005F6787">
        <w:rPr>
          <w:szCs w:val="21"/>
        </w:rPr>
        <w:t>頁以下（</w:t>
      </w:r>
      <w:r w:rsidRPr="005F6787">
        <w:rPr>
          <w:szCs w:val="21"/>
        </w:rPr>
        <w:t>2019</w:t>
      </w:r>
      <w:r w:rsidRPr="005F6787">
        <w:rPr>
          <w:szCs w:val="21"/>
        </w:rPr>
        <w:t>）</w:t>
      </w:r>
      <w:r w:rsidRPr="005F6787">
        <w:rPr>
          <w:szCs w:val="21"/>
        </w:rPr>
        <w:t>→</w:t>
      </w:r>
      <w:r w:rsidRPr="005F6787">
        <w:rPr>
          <w:szCs w:val="21"/>
        </w:rPr>
        <w:t xml:space="preserve">　杉本武重＝川島章裕</w:t>
      </w:r>
      <w:r w:rsidRPr="005F6787">
        <w:rPr>
          <w:szCs w:val="21"/>
        </w:rPr>
        <w:t>[2019]</w:t>
      </w:r>
    </w:p>
    <w:p w14:paraId="761CE3E8" w14:textId="77777777" w:rsidR="002972CB" w:rsidRPr="005F6787" w:rsidRDefault="002972CB" w:rsidP="002972CB">
      <w:pPr>
        <w:widowControl/>
        <w:shd w:val="clear" w:color="auto" w:fill="FFFFFF"/>
        <w:jc w:val="left"/>
        <w:rPr>
          <w:rFonts w:cs="Arial"/>
          <w:bCs/>
          <w:kern w:val="0"/>
          <w:szCs w:val="21"/>
        </w:rPr>
      </w:pPr>
      <w:r w:rsidRPr="005F6787">
        <w:rPr>
          <w:rFonts w:cs="Arial"/>
          <w:kern w:val="0"/>
          <w:szCs w:val="21"/>
        </w:rPr>
        <w:t>潮見佳男</w:t>
      </w:r>
      <w:r w:rsidRPr="005F6787">
        <w:rPr>
          <w:rFonts w:cs="Arial"/>
          <w:bCs/>
          <w:kern w:val="0"/>
          <w:szCs w:val="21"/>
        </w:rPr>
        <w:t>「説明義務・情報提供義務と自己決定」判例タイムズ</w:t>
      </w:r>
      <w:r w:rsidRPr="005F6787">
        <w:rPr>
          <w:rFonts w:cs="Arial"/>
          <w:bCs/>
          <w:kern w:val="0"/>
          <w:szCs w:val="21"/>
        </w:rPr>
        <w:t>1178</w:t>
      </w:r>
      <w:r w:rsidRPr="005F6787">
        <w:rPr>
          <w:rFonts w:cs="Arial"/>
          <w:bCs/>
          <w:kern w:val="0"/>
          <w:szCs w:val="21"/>
        </w:rPr>
        <w:t>号</w:t>
      </w:r>
      <w:r w:rsidRPr="005F6787">
        <w:rPr>
          <w:rFonts w:cs="Arial"/>
          <w:bCs/>
          <w:kern w:val="0"/>
          <w:szCs w:val="21"/>
        </w:rPr>
        <w:t>9</w:t>
      </w:r>
      <w:r w:rsidRPr="005F6787">
        <w:rPr>
          <w:rFonts w:cs="Arial"/>
          <w:bCs/>
          <w:kern w:val="0"/>
          <w:szCs w:val="21"/>
        </w:rPr>
        <w:t>頁以下（</w:t>
      </w:r>
      <w:r w:rsidRPr="005F6787">
        <w:rPr>
          <w:rFonts w:cs="Arial"/>
          <w:bCs/>
          <w:kern w:val="0"/>
          <w:szCs w:val="21"/>
        </w:rPr>
        <w:t>2005</w:t>
      </w:r>
      <w:r w:rsidRPr="005F6787">
        <w:rPr>
          <w:rFonts w:cs="Arial"/>
          <w:bCs/>
          <w:kern w:val="0"/>
          <w:szCs w:val="21"/>
        </w:rPr>
        <w:t>）</w:t>
      </w:r>
      <w:r w:rsidRPr="005F6787">
        <w:rPr>
          <w:rFonts w:cs="Arial"/>
          <w:bCs/>
          <w:kern w:val="0"/>
          <w:szCs w:val="21"/>
        </w:rPr>
        <w:t>→</w:t>
      </w:r>
      <w:r w:rsidRPr="005F6787">
        <w:rPr>
          <w:rFonts w:cs="Arial"/>
          <w:bCs/>
          <w:kern w:val="0"/>
          <w:szCs w:val="21"/>
        </w:rPr>
        <w:t xml:space="preserve">　</w:t>
      </w:r>
      <w:r w:rsidRPr="005F6787">
        <w:rPr>
          <w:rFonts w:cs="Arial"/>
          <w:kern w:val="0"/>
          <w:szCs w:val="21"/>
        </w:rPr>
        <w:t>潮見佳男</w:t>
      </w:r>
      <w:r w:rsidRPr="005F6787">
        <w:rPr>
          <w:rFonts w:cs="Arial"/>
          <w:kern w:val="0"/>
          <w:szCs w:val="21"/>
        </w:rPr>
        <w:t>[2005]</w:t>
      </w:r>
    </w:p>
    <w:p w14:paraId="4D602D19" w14:textId="77777777" w:rsidR="002972CB" w:rsidRPr="005F6787" w:rsidRDefault="002972CB" w:rsidP="002972CB">
      <w:pPr>
        <w:rPr>
          <w:szCs w:val="21"/>
          <w:lang w:eastAsia="zh-CN"/>
        </w:rPr>
      </w:pPr>
      <w:r w:rsidRPr="005F6787">
        <w:rPr>
          <w:szCs w:val="21"/>
          <w:lang w:eastAsia="zh-CN"/>
        </w:rPr>
        <w:t>柴田潤子「私的独占」日本経済法学会年報</w:t>
      </w:r>
      <w:r w:rsidRPr="005F6787">
        <w:rPr>
          <w:szCs w:val="21"/>
          <w:lang w:eastAsia="zh-CN"/>
        </w:rPr>
        <w:t>38</w:t>
      </w:r>
      <w:r w:rsidRPr="005F6787">
        <w:rPr>
          <w:szCs w:val="21"/>
          <w:lang w:eastAsia="zh-CN"/>
        </w:rPr>
        <w:t>号</w:t>
      </w:r>
      <w:r w:rsidRPr="005F6787">
        <w:rPr>
          <w:szCs w:val="21"/>
          <w:lang w:eastAsia="zh-CN"/>
        </w:rPr>
        <w:t>20</w:t>
      </w:r>
      <w:r w:rsidRPr="005F6787">
        <w:rPr>
          <w:szCs w:val="21"/>
          <w:lang w:eastAsia="zh-CN"/>
        </w:rPr>
        <w:t>頁以下</w:t>
      </w:r>
      <w:r w:rsidRPr="005F6787">
        <w:rPr>
          <w:szCs w:val="21"/>
          <w:lang w:eastAsia="zh-CN"/>
        </w:rPr>
        <w:t>(2017)</w:t>
      </w:r>
      <w:r w:rsidRPr="005F6787">
        <w:rPr>
          <w:szCs w:val="21"/>
          <w:lang w:eastAsia="zh-CN"/>
        </w:rPr>
        <w:t xml:space="preserve">　</w:t>
      </w:r>
      <w:r w:rsidRPr="005F6787">
        <w:rPr>
          <w:szCs w:val="21"/>
          <w:lang w:eastAsia="zh-CN"/>
        </w:rPr>
        <w:t xml:space="preserve">→ </w:t>
      </w:r>
      <w:r w:rsidRPr="005F6787">
        <w:rPr>
          <w:szCs w:val="21"/>
          <w:lang w:eastAsia="zh-CN"/>
        </w:rPr>
        <w:t>柴田潤子</w:t>
      </w:r>
      <w:r w:rsidRPr="005F6787">
        <w:rPr>
          <w:szCs w:val="21"/>
          <w:lang w:eastAsia="zh-CN"/>
        </w:rPr>
        <w:t>[2017a]</w:t>
      </w:r>
    </w:p>
    <w:p w14:paraId="7DAEEE9F" w14:textId="77777777" w:rsidR="00C827EB" w:rsidRPr="005F6787" w:rsidRDefault="002972CB" w:rsidP="00C827EB">
      <w:pPr>
        <w:rPr>
          <w:szCs w:val="21"/>
        </w:rPr>
      </w:pPr>
      <w:r w:rsidRPr="005F6787">
        <w:rPr>
          <w:szCs w:val="21"/>
        </w:rPr>
        <w:t>柴田潤子「グーグルケースにおける市場画定と市場支配」舟田古希『経済法の現代的課題』（有斐閣、</w:t>
      </w:r>
      <w:r w:rsidR="00B35B88" w:rsidRPr="005F6787">
        <w:rPr>
          <w:szCs w:val="21"/>
        </w:rPr>
        <w:t>2017</w:t>
      </w:r>
      <w:r w:rsidR="00C827EB" w:rsidRPr="005F6787">
        <w:rPr>
          <w:szCs w:val="21"/>
        </w:rPr>
        <w:t>）</w:t>
      </w:r>
      <w:r w:rsidR="00B35B88" w:rsidRPr="005F6787">
        <w:rPr>
          <w:szCs w:val="21"/>
        </w:rPr>
        <w:t>221</w:t>
      </w:r>
      <w:r w:rsidR="00C827EB" w:rsidRPr="005F6787">
        <w:rPr>
          <w:szCs w:val="21"/>
        </w:rPr>
        <w:t>頁以下</w:t>
      </w:r>
      <w:r w:rsidR="00B35B88" w:rsidRPr="005F6787">
        <w:rPr>
          <w:szCs w:val="21"/>
        </w:rPr>
        <w:t xml:space="preserve"> </w:t>
      </w:r>
      <w:r w:rsidR="00C827EB" w:rsidRPr="005F6787">
        <w:rPr>
          <w:szCs w:val="21"/>
        </w:rPr>
        <w:t>→</w:t>
      </w:r>
      <w:r w:rsidR="00C827EB" w:rsidRPr="005F6787">
        <w:rPr>
          <w:szCs w:val="21"/>
        </w:rPr>
        <w:t xml:space="preserve">　柴田潤子</w:t>
      </w:r>
      <w:r w:rsidR="00C827EB" w:rsidRPr="005F6787">
        <w:rPr>
          <w:szCs w:val="21"/>
        </w:rPr>
        <w:t>[2017b]</w:t>
      </w:r>
    </w:p>
    <w:p w14:paraId="3B054219" w14:textId="77777777" w:rsidR="00C827EB" w:rsidRPr="005F6787" w:rsidRDefault="00C827EB" w:rsidP="00C827EB">
      <w:pPr>
        <w:rPr>
          <w:szCs w:val="21"/>
        </w:rPr>
      </w:pPr>
      <w:r w:rsidRPr="005F6787">
        <w:rPr>
          <w:szCs w:val="21"/>
        </w:rPr>
        <w:t>柴田潤子「</w:t>
      </w:r>
      <w:r w:rsidRPr="005F6787">
        <w:rPr>
          <w:szCs w:val="21"/>
        </w:rPr>
        <w:t>EU</w:t>
      </w:r>
      <w:r w:rsidRPr="005F6787">
        <w:rPr>
          <w:szCs w:val="21"/>
        </w:rPr>
        <w:t>における優越的地位の濫用」公正取引</w:t>
      </w:r>
      <w:r w:rsidR="00B35B88" w:rsidRPr="005F6787">
        <w:rPr>
          <w:szCs w:val="21"/>
        </w:rPr>
        <w:t>817</w:t>
      </w:r>
      <w:r w:rsidRPr="005F6787">
        <w:rPr>
          <w:szCs w:val="21"/>
        </w:rPr>
        <w:t>号</w:t>
      </w:r>
      <w:r w:rsidR="00B35B88" w:rsidRPr="005F6787">
        <w:rPr>
          <w:szCs w:val="21"/>
        </w:rPr>
        <w:t>10</w:t>
      </w:r>
      <w:r w:rsidRPr="005F6787">
        <w:rPr>
          <w:szCs w:val="21"/>
        </w:rPr>
        <w:t>頁以下</w:t>
      </w:r>
      <w:r w:rsidRPr="005F6787">
        <w:rPr>
          <w:szCs w:val="21"/>
        </w:rPr>
        <w:t xml:space="preserve">→ </w:t>
      </w:r>
      <w:r w:rsidRPr="005F6787">
        <w:rPr>
          <w:szCs w:val="21"/>
        </w:rPr>
        <w:t>柴田潤子</w:t>
      </w:r>
      <w:r w:rsidRPr="005F6787">
        <w:rPr>
          <w:szCs w:val="21"/>
        </w:rPr>
        <w:t>[2018]</w:t>
      </w:r>
    </w:p>
    <w:p w14:paraId="53C58821" w14:textId="77777777" w:rsidR="002972CB" w:rsidRPr="005F6787" w:rsidRDefault="002972CB" w:rsidP="002972CB">
      <w:pPr>
        <w:rPr>
          <w:szCs w:val="21"/>
        </w:rPr>
      </w:pPr>
      <w:r w:rsidRPr="005F6787">
        <w:rPr>
          <w:szCs w:val="21"/>
        </w:rPr>
        <w:t>柴田潤子「情報と市場支配力</w:t>
      </w:r>
      <w:r w:rsidRPr="005F6787">
        <w:rPr>
          <w:szCs w:val="21"/>
        </w:rPr>
        <w:t>-</w:t>
      </w:r>
      <w:r w:rsidRPr="005F6787">
        <w:rPr>
          <w:szCs w:val="21"/>
        </w:rPr>
        <w:t>ドイツ競争制限防止法第９次改正をめぐる議論を中心に」日本エネルギー法研究所報告書『公益事業の規制と競争政策－電力システム改革を中心として』</w:t>
      </w:r>
      <w:r w:rsidRPr="005F6787">
        <w:rPr>
          <w:szCs w:val="21"/>
        </w:rPr>
        <w:t>119</w:t>
      </w:r>
      <w:r w:rsidRPr="005F6787">
        <w:rPr>
          <w:szCs w:val="21"/>
        </w:rPr>
        <w:t>頁以下（</w:t>
      </w:r>
      <w:r w:rsidRPr="005F6787">
        <w:rPr>
          <w:szCs w:val="21"/>
        </w:rPr>
        <w:t>2019</w:t>
      </w:r>
      <w:r w:rsidRPr="005F6787">
        <w:rPr>
          <w:szCs w:val="21"/>
        </w:rPr>
        <w:t>）</w:t>
      </w:r>
      <w:r w:rsidRPr="005F6787">
        <w:rPr>
          <w:szCs w:val="21"/>
        </w:rPr>
        <w:t xml:space="preserve">→ </w:t>
      </w:r>
      <w:r w:rsidRPr="005F6787">
        <w:rPr>
          <w:szCs w:val="21"/>
        </w:rPr>
        <w:t>柴田潤子</w:t>
      </w:r>
      <w:r w:rsidRPr="005F6787">
        <w:rPr>
          <w:szCs w:val="21"/>
        </w:rPr>
        <w:t>[2019a]</w:t>
      </w:r>
    </w:p>
    <w:p w14:paraId="5C044C07" w14:textId="63B5C0AE" w:rsidR="002972CB" w:rsidRPr="005F6787" w:rsidRDefault="002972CB" w:rsidP="002972CB">
      <w:pPr>
        <w:rPr>
          <w:szCs w:val="21"/>
        </w:rPr>
      </w:pPr>
      <w:r w:rsidRPr="005F6787">
        <w:rPr>
          <w:szCs w:val="21"/>
        </w:rPr>
        <w:t>柴田潤子「グーグルの市場支配的地位濫用と</w:t>
      </w:r>
      <w:r w:rsidRPr="005F6787">
        <w:rPr>
          <w:szCs w:val="21"/>
        </w:rPr>
        <w:t xml:space="preserve"> EU</w:t>
      </w:r>
      <w:r w:rsidRPr="005F6787">
        <w:rPr>
          <w:szCs w:val="21"/>
        </w:rPr>
        <w:t>競争法</w:t>
      </w:r>
      <w:r w:rsidRPr="005F6787">
        <w:rPr>
          <w:szCs w:val="21"/>
        </w:rPr>
        <w:t xml:space="preserve"> -----Googleshopping</w:t>
      </w:r>
      <w:r w:rsidRPr="005F6787">
        <w:rPr>
          <w:szCs w:val="21"/>
        </w:rPr>
        <w:t>」法律時報</w:t>
      </w:r>
      <w:r w:rsidRPr="005F6787">
        <w:rPr>
          <w:szCs w:val="21"/>
        </w:rPr>
        <w:t>1135</w:t>
      </w:r>
      <w:r w:rsidRPr="005F6787">
        <w:rPr>
          <w:szCs w:val="21"/>
        </w:rPr>
        <w:t>号（</w:t>
      </w:r>
      <w:r w:rsidRPr="005F6787">
        <w:rPr>
          <w:szCs w:val="21"/>
        </w:rPr>
        <w:t>2019</w:t>
      </w:r>
      <w:r w:rsidRPr="005F6787">
        <w:rPr>
          <w:szCs w:val="21"/>
        </w:rPr>
        <w:t>年</w:t>
      </w:r>
      <w:r w:rsidRPr="005F6787">
        <w:rPr>
          <w:szCs w:val="21"/>
        </w:rPr>
        <w:t>3</w:t>
      </w:r>
      <w:r w:rsidRPr="005F6787">
        <w:rPr>
          <w:szCs w:val="21"/>
        </w:rPr>
        <w:t>月号）</w:t>
      </w:r>
      <w:r w:rsidRPr="005F6787">
        <w:rPr>
          <w:szCs w:val="21"/>
        </w:rPr>
        <w:t>63</w:t>
      </w:r>
      <w:r w:rsidRPr="005F6787">
        <w:rPr>
          <w:szCs w:val="21"/>
        </w:rPr>
        <w:t>頁以下</w:t>
      </w:r>
      <w:r w:rsidRPr="005F6787">
        <w:rPr>
          <w:szCs w:val="21"/>
          <w:lang w:eastAsia="zh-CN"/>
        </w:rPr>
        <w:t xml:space="preserve">　</w:t>
      </w:r>
      <w:r w:rsidRPr="005F6787">
        <w:rPr>
          <w:szCs w:val="21"/>
          <w:lang w:eastAsia="zh-CN"/>
        </w:rPr>
        <w:t>→</w:t>
      </w:r>
      <w:r w:rsidRPr="005F6787">
        <w:rPr>
          <w:szCs w:val="21"/>
        </w:rPr>
        <w:t xml:space="preserve">  </w:t>
      </w:r>
      <w:r w:rsidRPr="005F6787">
        <w:rPr>
          <w:szCs w:val="21"/>
        </w:rPr>
        <w:t>柴田潤子</w:t>
      </w:r>
      <w:r w:rsidRPr="005F6787">
        <w:rPr>
          <w:szCs w:val="21"/>
        </w:rPr>
        <w:t>[2019b]</w:t>
      </w:r>
    </w:p>
    <w:p w14:paraId="462BFF15" w14:textId="61CDA64C" w:rsidR="00DF1BC8" w:rsidRPr="005F6787" w:rsidRDefault="00DF1BC8" w:rsidP="002972CB">
      <w:pPr>
        <w:rPr>
          <w:szCs w:val="21"/>
        </w:rPr>
      </w:pPr>
      <w:bookmarkStart w:id="24" w:name="_Hlk58749211"/>
      <w:r w:rsidRPr="005F6787">
        <w:rPr>
          <w:szCs w:val="21"/>
        </w:rPr>
        <w:t>柴田潤子</w:t>
      </w:r>
      <w:r w:rsidRPr="005F6787">
        <w:t>「ドイツ『</w:t>
      </w:r>
      <w:r w:rsidRPr="005F6787">
        <w:t>Facebook</w:t>
      </w:r>
      <w:r w:rsidRPr="005F6787">
        <w:t>ケース』最高裁決定について」</w:t>
      </w:r>
      <w:r w:rsidRPr="005F6787">
        <w:t>NextCom44</w:t>
      </w:r>
      <w:r w:rsidRPr="005F6787">
        <w:t>号</w:t>
      </w:r>
      <w:r w:rsidRPr="005F6787">
        <w:t>34</w:t>
      </w:r>
      <w:r w:rsidRPr="005F6787">
        <w:t>頁以下（</w:t>
      </w:r>
      <w:r w:rsidRPr="005F6787">
        <w:t>2020</w:t>
      </w:r>
      <w:r w:rsidRPr="005F6787">
        <w:t>）</w:t>
      </w:r>
      <w:r w:rsidRPr="005F6787">
        <w:t>→</w:t>
      </w:r>
      <w:r w:rsidRPr="005F6787">
        <w:t xml:space="preserve">　</w:t>
      </w:r>
      <w:r w:rsidRPr="005F6787">
        <w:rPr>
          <w:szCs w:val="21"/>
        </w:rPr>
        <w:t>柴田潤子</w:t>
      </w:r>
      <w:r w:rsidRPr="005F6787">
        <w:rPr>
          <w:szCs w:val="21"/>
        </w:rPr>
        <w:t>[2020]</w:t>
      </w:r>
    </w:p>
    <w:p w14:paraId="3C53C8AE" w14:textId="212ECAD9" w:rsidR="009B28D8" w:rsidRPr="005F6787" w:rsidRDefault="009B28D8" w:rsidP="00172D56">
      <w:r w:rsidRPr="005F6787">
        <w:t>柴田潤子「デジタルプラットフォームに関する最近のドイツのケース</w:t>
      </w:r>
      <w:r w:rsidRPr="005F6787">
        <w:t xml:space="preserve"> -Facebook</w:t>
      </w:r>
      <w:r w:rsidRPr="005F6787">
        <w:t xml:space="preserve">控訴審決定　</w:t>
      </w:r>
      <w:r w:rsidRPr="005F6787">
        <w:t>(Düsseldorf</w:t>
      </w:r>
      <w:r w:rsidRPr="005F6787">
        <w:t>控訴裁判所</w:t>
      </w:r>
      <w:r w:rsidRPr="005F6787">
        <w:t>2019</w:t>
      </w:r>
      <w:r w:rsidRPr="005F6787">
        <w:t>年</w:t>
      </w:r>
      <w:r w:rsidRPr="005F6787">
        <w:t>8</w:t>
      </w:r>
      <w:r w:rsidRPr="005F6787">
        <w:t>月</w:t>
      </w:r>
      <w:r w:rsidRPr="005F6787">
        <w:t>26</w:t>
      </w:r>
      <w:r w:rsidRPr="005F6787">
        <w:t>日決定</w:t>
      </w:r>
      <w:r w:rsidRPr="005F6787">
        <w:t>)</w:t>
      </w:r>
      <w:r w:rsidRPr="005F6787">
        <w:t>」</w:t>
      </w:r>
      <w:r w:rsidR="00172D56" w:rsidRPr="005F6787">
        <w:t>日本エネルギー法研究所報告書『デジタル経済における競争法・法規制』</w:t>
      </w:r>
      <w:r w:rsidRPr="005F6787">
        <w:t xml:space="preserve">　</w:t>
      </w:r>
      <w:r w:rsidR="00DF1BC8" w:rsidRPr="005F6787">
        <w:t>?</w:t>
      </w:r>
      <w:r w:rsidRPr="005F6787">
        <w:t xml:space="preserve">　頁以下</w:t>
      </w:r>
      <w:bookmarkStart w:id="25" w:name="_Hlk58351154"/>
      <w:r w:rsidRPr="005F6787">
        <w:t>（</w:t>
      </w:r>
      <w:r w:rsidRPr="005F6787">
        <w:t>2021</w:t>
      </w:r>
      <w:r w:rsidRPr="005F6787">
        <w:t>）</w:t>
      </w:r>
      <w:r w:rsidRPr="005F6787">
        <w:t>→</w:t>
      </w:r>
      <w:r w:rsidRPr="005F6787">
        <w:t xml:space="preserve">　柴田潤子</w:t>
      </w:r>
      <w:r w:rsidRPr="005F6787">
        <w:t>[2021]</w:t>
      </w:r>
    </w:p>
    <w:p w14:paraId="2BE593EB" w14:textId="77777777" w:rsidR="00FB2398" w:rsidRPr="005F6787" w:rsidRDefault="00FB2398" w:rsidP="002972CB">
      <w:pPr>
        <w:rPr>
          <w:szCs w:val="21"/>
        </w:rPr>
      </w:pPr>
      <w:bookmarkStart w:id="26" w:name="_Hlk58340482"/>
      <w:bookmarkEnd w:id="24"/>
      <w:bookmarkEnd w:id="25"/>
      <w:r w:rsidRPr="005F6787">
        <w:rPr>
          <w:szCs w:val="21"/>
        </w:rPr>
        <w:t>島村健太郎「ドイツ競争制限禁止法における市場支配的なデジタルプラットフォーム事業者の濫用行為規制について」一橋法学</w:t>
      </w:r>
      <w:r w:rsidRPr="005F6787">
        <w:rPr>
          <w:szCs w:val="21"/>
        </w:rPr>
        <w:t>18</w:t>
      </w:r>
      <w:r w:rsidRPr="005F6787">
        <w:rPr>
          <w:szCs w:val="21"/>
        </w:rPr>
        <w:t>巻</w:t>
      </w:r>
      <w:r w:rsidRPr="005F6787">
        <w:rPr>
          <w:szCs w:val="21"/>
        </w:rPr>
        <w:t>2</w:t>
      </w:r>
      <w:r w:rsidRPr="005F6787">
        <w:rPr>
          <w:szCs w:val="21"/>
        </w:rPr>
        <w:t>号</w:t>
      </w:r>
      <w:r w:rsidRPr="005F6787">
        <w:rPr>
          <w:szCs w:val="21"/>
        </w:rPr>
        <w:t>727</w:t>
      </w:r>
      <w:r w:rsidRPr="005F6787">
        <w:rPr>
          <w:szCs w:val="21"/>
        </w:rPr>
        <w:t>頁以下（</w:t>
      </w:r>
      <w:r w:rsidRPr="005F6787">
        <w:rPr>
          <w:szCs w:val="21"/>
        </w:rPr>
        <w:t>2019</w:t>
      </w:r>
      <w:r w:rsidRPr="005F6787">
        <w:rPr>
          <w:szCs w:val="21"/>
        </w:rPr>
        <w:t>）</w:t>
      </w:r>
      <w:r w:rsidRPr="005F6787">
        <w:rPr>
          <w:szCs w:val="21"/>
        </w:rPr>
        <w:t>→</w:t>
      </w:r>
      <w:r w:rsidRPr="005F6787">
        <w:rPr>
          <w:szCs w:val="21"/>
        </w:rPr>
        <w:t xml:space="preserve">　島村健太郎</w:t>
      </w:r>
      <w:r w:rsidRPr="005F6787">
        <w:rPr>
          <w:szCs w:val="21"/>
        </w:rPr>
        <w:t>[2019]</w:t>
      </w:r>
    </w:p>
    <w:p w14:paraId="1B723DEE" w14:textId="77777777" w:rsidR="00BF2B76" w:rsidRPr="005F6787" w:rsidRDefault="00BF2B76" w:rsidP="00BF2B76">
      <w:bookmarkStart w:id="27" w:name="_Hlk58749228"/>
      <w:bookmarkEnd w:id="26"/>
      <w:r w:rsidRPr="005F6787">
        <w:t>鈴木孝之「ドイツ連邦カルテル庁の</w:t>
      </w:r>
      <w:r w:rsidRPr="005F6787">
        <w:t>Facebook</w:t>
      </w:r>
      <w:r w:rsidRPr="005F6787">
        <w:t>事件決定にみる市場支配的事業者規制への視点」公正取引</w:t>
      </w:r>
      <w:r w:rsidRPr="005F6787">
        <w:t>829</w:t>
      </w:r>
      <w:r w:rsidRPr="005F6787">
        <w:t>号</w:t>
      </w:r>
      <w:r w:rsidRPr="005F6787">
        <w:t>41</w:t>
      </w:r>
      <w:r w:rsidRPr="005F6787">
        <w:t>頁以下（</w:t>
      </w:r>
      <w:r w:rsidRPr="005F6787">
        <w:t>2019</w:t>
      </w:r>
      <w:r w:rsidRPr="005F6787">
        <w:t>）</w:t>
      </w:r>
      <w:r w:rsidRPr="005F6787">
        <w:t>→</w:t>
      </w:r>
      <w:r w:rsidRPr="005F6787">
        <w:t xml:space="preserve">　鈴木孝之</w:t>
      </w:r>
      <w:r w:rsidRPr="005F6787">
        <w:t>[2019]</w:t>
      </w:r>
    </w:p>
    <w:bookmarkEnd w:id="27"/>
    <w:p w14:paraId="21685D03" w14:textId="378BEB90" w:rsidR="002E476C" w:rsidRPr="005F6787" w:rsidRDefault="002E476C" w:rsidP="002972CB">
      <w:pPr>
        <w:rPr>
          <w:szCs w:val="21"/>
        </w:rPr>
      </w:pPr>
      <w:r w:rsidRPr="005F6787">
        <w:lastRenderedPageBreak/>
        <w:t>鈴木庸夫＝</w:t>
      </w:r>
      <w:r w:rsidR="0039127A" w:rsidRPr="005F6787">
        <w:t>藤原靜雄</w:t>
      </w:r>
      <w:r w:rsidRPr="005F6787">
        <w:t>「西ドイツ連邦憲法裁判所の国勢調査判決</w:t>
      </w:r>
      <w:r w:rsidRPr="005F6787">
        <w:t>(</w:t>
      </w:r>
      <w:r w:rsidRPr="005F6787">
        <w:t>上</w:t>
      </w:r>
      <w:r w:rsidRPr="005F6787">
        <w:t>)(</w:t>
      </w:r>
      <w:r w:rsidRPr="005F6787">
        <w:t>下</w:t>
      </w:r>
      <w:r w:rsidRPr="005F6787">
        <w:t>)</w:t>
      </w:r>
      <w:r w:rsidRPr="005F6787">
        <w:t>」ジュリ</w:t>
      </w:r>
      <w:r w:rsidRPr="005F6787">
        <w:rPr>
          <w:szCs w:val="21"/>
        </w:rPr>
        <w:t>817</w:t>
      </w:r>
      <w:r w:rsidRPr="005F6787">
        <w:rPr>
          <w:szCs w:val="21"/>
        </w:rPr>
        <w:t>号</w:t>
      </w:r>
      <w:r w:rsidRPr="005F6787">
        <w:rPr>
          <w:szCs w:val="21"/>
        </w:rPr>
        <w:t>64</w:t>
      </w:r>
      <w:r w:rsidRPr="005F6787">
        <w:rPr>
          <w:szCs w:val="21"/>
        </w:rPr>
        <w:t>頁以下、</w:t>
      </w:r>
      <w:r w:rsidRPr="005F6787">
        <w:rPr>
          <w:szCs w:val="21"/>
        </w:rPr>
        <w:t>818</w:t>
      </w:r>
      <w:r w:rsidRPr="005F6787">
        <w:rPr>
          <w:szCs w:val="21"/>
        </w:rPr>
        <w:t>号</w:t>
      </w:r>
      <w:r w:rsidRPr="005F6787">
        <w:rPr>
          <w:szCs w:val="21"/>
        </w:rPr>
        <w:t>776</w:t>
      </w:r>
      <w:r w:rsidRPr="005F6787">
        <w:rPr>
          <w:szCs w:val="21"/>
        </w:rPr>
        <w:t>頁以下（</w:t>
      </w:r>
      <w:r w:rsidRPr="005F6787">
        <w:rPr>
          <w:szCs w:val="21"/>
        </w:rPr>
        <w:t>1984</w:t>
      </w:r>
      <w:r w:rsidRPr="005F6787">
        <w:rPr>
          <w:szCs w:val="21"/>
        </w:rPr>
        <w:t>）</w:t>
      </w:r>
      <w:r w:rsidRPr="005F6787">
        <w:rPr>
          <w:szCs w:val="21"/>
        </w:rPr>
        <w:t>→</w:t>
      </w:r>
      <w:r w:rsidRPr="005F6787">
        <w:rPr>
          <w:szCs w:val="21"/>
        </w:rPr>
        <w:t xml:space="preserve">　鈴木庸夫＝藤原</w:t>
      </w:r>
      <w:r w:rsidR="0039127A" w:rsidRPr="005F6787">
        <w:t>靜雄</w:t>
      </w:r>
      <w:r w:rsidRPr="005F6787">
        <w:rPr>
          <w:szCs w:val="21"/>
        </w:rPr>
        <w:t>[1984]</w:t>
      </w:r>
    </w:p>
    <w:p w14:paraId="3BC5103C" w14:textId="77777777" w:rsidR="002972CB" w:rsidRPr="005F6787" w:rsidRDefault="002972CB" w:rsidP="002972CB">
      <w:pPr>
        <w:rPr>
          <w:b/>
          <w:szCs w:val="21"/>
        </w:rPr>
      </w:pPr>
      <w:r w:rsidRPr="005F6787">
        <w:rPr>
          <w:szCs w:val="21"/>
        </w:rPr>
        <w:t>須藤陽子「行政法における『比例原則』の伝統的意義と機能（一）～（三）」東京都立大学法学会雑誌</w:t>
      </w:r>
      <w:r w:rsidRPr="005F6787">
        <w:rPr>
          <w:szCs w:val="21"/>
        </w:rPr>
        <w:t>31</w:t>
      </w:r>
      <w:r w:rsidRPr="005F6787">
        <w:rPr>
          <w:szCs w:val="21"/>
        </w:rPr>
        <w:t>巻２号</w:t>
      </w:r>
      <w:r w:rsidRPr="005F6787">
        <w:rPr>
          <w:szCs w:val="21"/>
        </w:rPr>
        <w:t>347</w:t>
      </w:r>
      <w:r w:rsidRPr="005F6787">
        <w:rPr>
          <w:szCs w:val="21"/>
        </w:rPr>
        <w:t>頁以下、</w:t>
      </w:r>
      <w:r w:rsidRPr="005F6787">
        <w:rPr>
          <w:szCs w:val="21"/>
        </w:rPr>
        <w:t>32</w:t>
      </w:r>
      <w:r w:rsidRPr="005F6787">
        <w:rPr>
          <w:szCs w:val="21"/>
        </w:rPr>
        <w:t>巻</w:t>
      </w:r>
      <w:r w:rsidRPr="005F6787">
        <w:rPr>
          <w:szCs w:val="21"/>
        </w:rPr>
        <w:t>1</w:t>
      </w:r>
      <w:r w:rsidRPr="005F6787">
        <w:rPr>
          <w:szCs w:val="21"/>
        </w:rPr>
        <w:t>号</w:t>
      </w:r>
      <w:r w:rsidRPr="005F6787">
        <w:rPr>
          <w:szCs w:val="21"/>
        </w:rPr>
        <w:t>501</w:t>
      </w:r>
      <w:r w:rsidRPr="005F6787">
        <w:rPr>
          <w:szCs w:val="21"/>
        </w:rPr>
        <w:t>頁以下、</w:t>
      </w:r>
      <w:r w:rsidRPr="005F6787">
        <w:rPr>
          <w:szCs w:val="21"/>
        </w:rPr>
        <w:t>32</w:t>
      </w:r>
      <w:r w:rsidRPr="005F6787">
        <w:rPr>
          <w:szCs w:val="21"/>
        </w:rPr>
        <w:t>巻</w:t>
      </w:r>
      <w:r w:rsidRPr="005F6787">
        <w:rPr>
          <w:szCs w:val="21"/>
        </w:rPr>
        <w:t>2</w:t>
      </w:r>
      <w:r w:rsidRPr="005F6787">
        <w:rPr>
          <w:szCs w:val="21"/>
        </w:rPr>
        <w:t>号</w:t>
      </w:r>
      <w:r w:rsidRPr="005F6787">
        <w:rPr>
          <w:szCs w:val="21"/>
        </w:rPr>
        <w:t>101</w:t>
      </w:r>
      <w:r w:rsidRPr="005F6787">
        <w:rPr>
          <w:szCs w:val="21"/>
        </w:rPr>
        <w:t>頁以下（</w:t>
      </w:r>
      <w:r w:rsidRPr="005F6787">
        <w:rPr>
          <w:szCs w:val="21"/>
        </w:rPr>
        <w:t>1990</w:t>
      </w:r>
      <w:r w:rsidRPr="005F6787">
        <w:rPr>
          <w:szCs w:val="21"/>
        </w:rPr>
        <w:t>年～</w:t>
      </w:r>
      <w:r w:rsidRPr="005F6787">
        <w:rPr>
          <w:szCs w:val="21"/>
        </w:rPr>
        <w:t>1991</w:t>
      </w:r>
      <w:r w:rsidRPr="005F6787">
        <w:rPr>
          <w:szCs w:val="21"/>
        </w:rPr>
        <w:t>年）</w:t>
      </w:r>
      <w:r w:rsidRPr="005F6787">
        <w:rPr>
          <w:szCs w:val="21"/>
        </w:rPr>
        <w:t>→</w:t>
      </w:r>
      <w:r w:rsidRPr="005F6787">
        <w:rPr>
          <w:szCs w:val="21"/>
        </w:rPr>
        <w:t xml:space="preserve">　須藤陽子</w:t>
      </w:r>
      <w:r w:rsidRPr="005F6787">
        <w:rPr>
          <w:szCs w:val="21"/>
        </w:rPr>
        <w:t>[1990-91]</w:t>
      </w:r>
    </w:p>
    <w:p w14:paraId="120CA6F7" w14:textId="77777777" w:rsidR="002972CB" w:rsidRPr="005F6787" w:rsidRDefault="002972CB" w:rsidP="002972CB">
      <w:pPr>
        <w:rPr>
          <w:szCs w:val="21"/>
          <w:lang w:eastAsia="zh-CN"/>
        </w:rPr>
      </w:pPr>
      <w:r w:rsidRPr="005F6787">
        <w:rPr>
          <w:szCs w:val="21"/>
          <w:lang w:eastAsia="zh-CN"/>
        </w:rPr>
        <w:t>須藤陽子「比例原則｣法学教室</w:t>
      </w:r>
      <w:r w:rsidRPr="005F6787">
        <w:rPr>
          <w:szCs w:val="21"/>
          <w:lang w:eastAsia="zh-CN"/>
        </w:rPr>
        <w:t>237</w:t>
      </w:r>
      <w:r w:rsidRPr="005F6787">
        <w:rPr>
          <w:szCs w:val="21"/>
          <w:lang w:eastAsia="zh-CN"/>
        </w:rPr>
        <w:t>号</w:t>
      </w:r>
      <w:r w:rsidRPr="005F6787">
        <w:rPr>
          <w:szCs w:val="21"/>
          <w:lang w:eastAsia="zh-CN"/>
        </w:rPr>
        <w:t>18</w:t>
      </w:r>
      <w:r w:rsidRPr="005F6787">
        <w:rPr>
          <w:szCs w:val="21"/>
          <w:lang w:eastAsia="zh-CN"/>
        </w:rPr>
        <w:t>頁以下</w:t>
      </w:r>
      <w:r w:rsidRPr="005F6787">
        <w:rPr>
          <w:szCs w:val="21"/>
          <w:lang w:eastAsia="zh-CN"/>
        </w:rPr>
        <w:t>(2000</w:t>
      </w:r>
      <w:r w:rsidRPr="005F6787">
        <w:rPr>
          <w:szCs w:val="21"/>
          <w:lang w:eastAsia="zh-CN"/>
        </w:rPr>
        <w:t>年</w:t>
      </w:r>
      <w:r w:rsidRPr="005F6787">
        <w:rPr>
          <w:szCs w:val="21"/>
          <w:lang w:eastAsia="zh-CN"/>
        </w:rPr>
        <w:t>)→</w:t>
      </w:r>
      <w:r w:rsidRPr="005F6787">
        <w:rPr>
          <w:szCs w:val="21"/>
          <w:lang w:eastAsia="zh-CN"/>
        </w:rPr>
        <w:t xml:space="preserve">　須藤陽子</w:t>
      </w:r>
      <w:r w:rsidRPr="005F6787">
        <w:rPr>
          <w:szCs w:val="21"/>
          <w:lang w:eastAsia="zh-CN"/>
        </w:rPr>
        <w:t>[2000]</w:t>
      </w:r>
    </w:p>
    <w:p w14:paraId="0A6E0B0E" w14:textId="77777777" w:rsidR="002972CB" w:rsidRPr="005F6787" w:rsidRDefault="002972CB" w:rsidP="002972CB">
      <w:pPr>
        <w:rPr>
          <w:szCs w:val="21"/>
        </w:rPr>
      </w:pPr>
      <w:r w:rsidRPr="005F6787">
        <w:rPr>
          <w:szCs w:val="21"/>
        </w:rPr>
        <w:t>須藤陽子「比例原則と違憲審査基準」立命館法学</w:t>
      </w:r>
      <w:r w:rsidRPr="005F6787">
        <w:rPr>
          <w:szCs w:val="21"/>
        </w:rPr>
        <w:t xml:space="preserve"> 2008 </w:t>
      </w:r>
      <w:r w:rsidRPr="005F6787">
        <w:rPr>
          <w:szCs w:val="21"/>
        </w:rPr>
        <w:t>年</w:t>
      </w:r>
      <w:r w:rsidRPr="005F6787">
        <w:rPr>
          <w:szCs w:val="21"/>
        </w:rPr>
        <w:t xml:space="preserve"> 5</w:t>
      </w:r>
      <w:r w:rsidRPr="005F6787">
        <w:rPr>
          <w:szCs w:val="21"/>
        </w:rPr>
        <w:t>・</w:t>
      </w:r>
      <w:r w:rsidRPr="005F6787">
        <w:rPr>
          <w:szCs w:val="21"/>
        </w:rPr>
        <w:t xml:space="preserve">6 </w:t>
      </w:r>
      <w:r w:rsidRPr="005F6787">
        <w:rPr>
          <w:szCs w:val="21"/>
        </w:rPr>
        <w:t>号（</w:t>
      </w:r>
      <w:r w:rsidRPr="005F6787">
        <w:rPr>
          <w:szCs w:val="21"/>
        </w:rPr>
        <w:t>321</w:t>
      </w:r>
      <w:r w:rsidRPr="005F6787">
        <w:rPr>
          <w:szCs w:val="21"/>
        </w:rPr>
        <w:t>・</w:t>
      </w:r>
      <w:r w:rsidRPr="005F6787">
        <w:rPr>
          <w:szCs w:val="21"/>
        </w:rPr>
        <w:t>322</w:t>
      </w:r>
      <w:r w:rsidRPr="005F6787">
        <w:rPr>
          <w:szCs w:val="21"/>
        </w:rPr>
        <w:t>号</w:t>
      </w:r>
      <w:r w:rsidRPr="005F6787">
        <w:rPr>
          <w:szCs w:val="21"/>
        </w:rPr>
        <w:t>)264</w:t>
      </w:r>
      <w:r w:rsidRPr="005F6787">
        <w:rPr>
          <w:szCs w:val="21"/>
        </w:rPr>
        <w:t>頁以下</w:t>
      </w:r>
      <w:r w:rsidRPr="005F6787">
        <w:rPr>
          <w:szCs w:val="21"/>
        </w:rPr>
        <w:t>→</w:t>
      </w:r>
      <w:r w:rsidRPr="005F6787">
        <w:rPr>
          <w:szCs w:val="21"/>
        </w:rPr>
        <w:t xml:space="preserve">　須藤陽子</w:t>
      </w:r>
      <w:r w:rsidRPr="005F6787">
        <w:rPr>
          <w:szCs w:val="21"/>
        </w:rPr>
        <w:t>[2008]</w:t>
      </w:r>
    </w:p>
    <w:p w14:paraId="3AAAC9D7"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た</w:t>
      </w:r>
    </w:p>
    <w:p w14:paraId="1867348B" w14:textId="77777777" w:rsidR="008A5F3B" w:rsidRPr="005F6787" w:rsidRDefault="008A5F3B" w:rsidP="008A5F3B">
      <w:pPr>
        <w:jc w:val="left"/>
        <w:rPr>
          <w:szCs w:val="21"/>
        </w:rPr>
      </w:pPr>
      <w:bookmarkStart w:id="28" w:name="_Hlk58749243"/>
      <w:r w:rsidRPr="005F6787">
        <w:rPr>
          <w:szCs w:val="21"/>
        </w:rPr>
        <w:t>高橋和広「情報自己決定権論に関する一考察」六甲台論集</w:t>
      </w:r>
      <w:r w:rsidRPr="005F6787">
        <w:rPr>
          <w:szCs w:val="21"/>
        </w:rPr>
        <w:t xml:space="preserve"> 59</w:t>
      </w:r>
      <w:r w:rsidRPr="005F6787">
        <w:rPr>
          <w:szCs w:val="21"/>
        </w:rPr>
        <w:t>巻</w:t>
      </w:r>
      <w:r w:rsidRPr="005F6787">
        <w:rPr>
          <w:szCs w:val="21"/>
        </w:rPr>
        <w:t xml:space="preserve"> 1</w:t>
      </w:r>
      <w:r w:rsidRPr="005F6787">
        <w:rPr>
          <w:szCs w:val="21"/>
        </w:rPr>
        <w:t>号</w:t>
      </w:r>
      <w:r w:rsidRPr="005F6787">
        <w:rPr>
          <w:szCs w:val="21"/>
        </w:rPr>
        <w:t>77</w:t>
      </w:r>
      <w:r w:rsidRPr="005F6787">
        <w:rPr>
          <w:szCs w:val="21"/>
        </w:rPr>
        <w:t>頁以下</w:t>
      </w:r>
      <w:r w:rsidRPr="005F6787">
        <w:rPr>
          <w:szCs w:val="21"/>
        </w:rPr>
        <w:t>(2012)→</w:t>
      </w:r>
      <w:r w:rsidRPr="005F6787">
        <w:rPr>
          <w:szCs w:val="21"/>
        </w:rPr>
        <w:t xml:space="preserve">　高橋和広</w:t>
      </w:r>
      <w:r w:rsidRPr="005F6787">
        <w:rPr>
          <w:szCs w:val="21"/>
        </w:rPr>
        <w:t>[2012]</w:t>
      </w:r>
    </w:p>
    <w:p w14:paraId="4A577C88" w14:textId="77777777" w:rsidR="008A5F3B" w:rsidRPr="005F6787" w:rsidRDefault="008A5F3B" w:rsidP="008A5F3B">
      <w:pPr>
        <w:jc w:val="left"/>
        <w:rPr>
          <w:szCs w:val="21"/>
        </w:rPr>
      </w:pPr>
      <w:r w:rsidRPr="005F6787">
        <w:rPr>
          <w:szCs w:val="21"/>
        </w:rPr>
        <w:t>高橋和広「ドイツ連邦憲法裁判所による情報自己決定権の展開」」六甲台論集</w:t>
      </w:r>
      <w:r w:rsidRPr="005F6787">
        <w:rPr>
          <w:szCs w:val="21"/>
        </w:rPr>
        <w:t xml:space="preserve"> 59</w:t>
      </w:r>
      <w:r w:rsidRPr="005F6787">
        <w:rPr>
          <w:szCs w:val="21"/>
        </w:rPr>
        <w:t>巻</w:t>
      </w:r>
      <w:r w:rsidRPr="005F6787">
        <w:rPr>
          <w:szCs w:val="21"/>
        </w:rPr>
        <w:t xml:space="preserve"> 2</w:t>
      </w:r>
      <w:r w:rsidRPr="005F6787">
        <w:rPr>
          <w:szCs w:val="21"/>
        </w:rPr>
        <w:t>号</w:t>
      </w:r>
      <w:r w:rsidRPr="005F6787">
        <w:rPr>
          <w:szCs w:val="21"/>
        </w:rPr>
        <w:t>57</w:t>
      </w:r>
      <w:r w:rsidRPr="005F6787">
        <w:rPr>
          <w:szCs w:val="21"/>
        </w:rPr>
        <w:t>頁以下</w:t>
      </w:r>
      <w:r w:rsidRPr="005F6787">
        <w:rPr>
          <w:szCs w:val="21"/>
        </w:rPr>
        <w:t>(2013)→</w:t>
      </w:r>
      <w:r w:rsidRPr="005F6787">
        <w:rPr>
          <w:szCs w:val="21"/>
        </w:rPr>
        <w:t xml:space="preserve">　高橋和広</w:t>
      </w:r>
      <w:r w:rsidRPr="005F6787">
        <w:rPr>
          <w:szCs w:val="21"/>
        </w:rPr>
        <w:t>[2013]</w:t>
      </w:r>
    </w:p>
    <w:bookmarkEnd w:id="28"/>
    <w:p w14:paraId="450E07F5" w14:textId="77777777" w:rsidR="002972CB" w:rsidRPr="005F6787" w:rsidRDefault="002972CB" w:rsidP="002972CB">
      <w:pPr>
        <w:rPr>
          <w:szCs w:val="21"/>
        </w:rPr>
      </w:pPr>
      <w:r w:rsidRPr="005F6787">
        <w:rPr>
          <w:szCs w:val="21"/>
        </w:rPr>
        <w:t>高橋和広「情報自己決定権論に関する一理論的考察」六甲台論集</w:t>
      </w:r>
      <w:r w:rsidRPr="005F6787">
        <w:rPr>
          <w:szCs w:val="21"/>
        </w:rPr>
        <w:t xml:space="preserve"> 60 </w:t>
      </w:r>
      <w:r w:rsidRPr="005F6787">
        <w:rPr>
          <w:szCs w:val="21"/>
        </w:rPr>
        <w:t>巻</w:t>
      </w:r>
      <w:r w:rsidRPr="005F6787">
        <w:rPr>
          <w:szCs w:val="21"/>
        </w:rPr>
        <w:t xml:space="preserve"> 2 </w:t>
      </w:r>
      <w:r w:rsidRPr="005F6787">
        <w:rPr>
          <w:szCs w:val="21"/>
        </w:rPr>
        <w:t>号</w:t>
      </w:r>
      <w:r w:rsidRPr="005F6787">
        <w:rPr>
          <w:szCs w:val="21"/>
        </w:rPr>
        <w:t xml:space="preserve">105 </w:t>
      </w:r>
      <w:r w:rsidRPr="005F6787">
        <w:rPr>
          <w:szCs w:val="21"/>
        </w:rPr>
        <w:t>頁以下（</w:t>
      </w:r>
      <w:r w:rsidRPr="005F6787">
        <w:rPr>
          <w:szCs w:val="21"/>
        </w:rPr>
        <w:t>2014</w:t>
      </w:r>
      <w:r w:rsidRPr="005F6787">
        <w:rPr>
          <w:szCs w:val="21"/>
        </w:rPr>
        <w:t>）</w:t>
      </w:r>
      <w:r w:rsidRPr="005F6787">
        <w:rPr>
          <w:szCs w:val="21"/>
        </w:rPr>
        <w:t>→</w:t>
      </w:r>
      <w:r w:rsidRPr="005F6787">
        <w:rPr>
          <w:szCs w:val="21"/>
        </w:rPr>
        <w:t xml:space="preserve">　高橋和広</w:t>
      </w:r>
      <w:r w:rsidRPr="005F6787">
        <w:rPr>
          <w:szCs w:val="21"/>
        </w:rPr>
        <w:t>[2014]</w:t>
      </w:r>
    </w:p>
    <w:p w14:paraId="46542D73" w14:textId="77777777" w:rsidR="002972CB" w:rsidRPr="005F6787" w:rsidRDefault="002972CB" w:rsidP="002972CB">
      <w:pPr>
        <w:rPr>
          <w:szCs w:val="21"/>
        </w:rPr>
      </w:pPr>
      <w:r w:rsidRPr="005F6787">
        <w:rPr>
          <w:szCs w:val="21"/>
        </w:rPr>
        <w:t>田中裕明「ビッグ・データと競争法」公正取引</w:t>
      </w:r>
      <w:r w:rsidRPr="005F6787">
        <w:rPr>
          <w:szCs w:val="21"/>
        </w:rPr>
        <w:t>817</w:t>
      </w:r>
      <w:r w:rsidRPr="005F6787">
        <w:rPr>
          <w:szCs w:val="21"/>
        </w:rPr>
        <w:t>号</w:t>
      </w:r>
      <w:r w:rsidRPr="005F6787">
        <w:rPr>
          <w:szCs w:val="21"/>
        </w:rPr>
        <w:t>47</w:t>
      </w:r>
      <w:r w:rsidRPr="005F6787">
        <w:rPr>
          <w:szCs w:val="21"/>
        </w:rPr>
        <w:t>頁以下（</w:t>
      </w:r>
      <w:r w:rsidRPr="005F6787">
        <w:rPr>
          <w:szCs w:val="21"/>
        </w:rPr>
        <w:t>2018</w:t>
      </w:r>
      <w:r w:rsidRPr="005F6787">
        <w:rPr>
          <w:szCs w:val="21"/>
        </w:rPr>
        <w:t>）</w:t>
      </w:r>
      <w:r w:rsidRPr="005F6787">
        <w:rPr>
          <w:szCs w:val="21"/>
        </w:rPr>
        <w:t>→</w:t>
      </w:r>
      <w:r w:rsidRPr="005F6787">
        <w:rPr>
          <w:szCs w:val="21"/>
        </w:rPr>
        <w:t xml:space="preserve">　田中裕明</w:t>
      </w:r>
      <w:r w:rsidRPr="005F6787">
        <w:rPr>
          <w:szCs w:val="21"/>
        </w:rPr>
        <w:t>[2018]</w:t>
      </w:r>
    </w:p>
    <w:p w14:paraId="266080C0" w14:textId="77777777" w:rsidR="00EA3CBA" w:rsidRPr="005F6787" w:rsidRDefault="00EA3CBA" w:rsidP="00FD34D4">
      <w:pPr>
        <w:rPr>
          <w:szCs w:val="21"/>
        </w:rPr>
      </w:pPr>
      <w:r w:rsidRPr="005F6787">
        <w:rPr>
          <w:szCs w:val="21"/>
        </w:rPr>
        <w:t>谷本圭子「ドイツでの『消費者契約における濫用条項に関するＥＧ指令』国内法化の実現</w:t>
      </w:r>
      <w:r w:rsidRPr="005F6787">
        <w:rPr>
          <w:szCs w:val="21"/>
        </w:rPr>
        <w:t>-----</w:t>
      </w:r>
      <w:r w:rsidRPr="005F6787">
        <w:rPr>
          <w:szCs w:val="21"/>
        </w:rPr>
        <w:t>約款規制法</w:t>
      </w:r>
      <w:r w:rsidRPr="005F6787">
        <w:rPr>
          <w:szCs w:val="21"/>
        </w:rPr>
        <w:t>(</w:t>
      </w:r>
      <w:r w:rsidRPr="005F6787">
        <w:rPr>
          <w:szCs w:val="21"/>
        </w:rPr>
        <w:t>ＡＧＢＧ）改正法の成立・施行</w:t>
      </w:r>
      <w:r w:rsidRPr="005F6787">
        <w:rPr>
          <w:szCs w:val="21"/>
        </w:rPr>
        <w:t>) </w:t>
      </w:r>
      <w:r w:rsidRPr="005F6787">
        <w:rPr>
          <w:szCs w:val="21"/>
        </w:rPr>
        <w:t>立命館法学</w:t>
      </w:r>
      <w:r w:rsidRPr="005F6787">
        <w:rPr>
          <w:szCs w:val="21"/>
        </w:rPr>
        <w:t>1996</w:t>
      </w:r>
      <w:r w:rsidRPr="005F6787">
        <w:rPr>
          <w:szCs w:val="21"/>
        </w:rPr>
        <w:t>年</w:t>
      </w:r>
      <w:r w:rsidRPr="005F6787">
        <w:rPr>
          <w:szCs w:val="21"/>
        </w:rPr>
        <w:t>3</w:t>
      </w:r>
      <w:r w:rsidRPr="005F6787">
        <w:rPr>
          <w:szCs w:val="21"/>
        </w:rPr>
        <w:t>号（</w:t>
      </w:r>
      <w:r w:rsidRPr="005F6787">
        <w:rPr>
          <w:szCs w:val="21"/>
        </w:rPr>
        <w:t>247</w:t>
      </w:r>
      <w:r w:rsidRPr="005F6787">
        <w:rPr>
          <w:szCs w:val="21"/>
        </w:rPr>
        <w:t>号）</w:t>
      </w:r>
      <w:r w:rsidRPr="005F6787">
        <w:rPr>
          <w:szCs w:val="21"/>
        </w:rPr>
        <w:t>277</w:t>
      </w:r>
      <w:r w:rsidRPr="005F6787">
        <w:rPr>
          <w:szCs w:val="21"/>
        </w:rPr>
        <w:t>頁以下（</w:t>
      </w:r>
      <w:r w:rsidRPr="005F6787">
        <w:rPr>
          <w:szCs w:val="21"/>
        </w:rPr>
        <w:t>1996</w:t>
      </w:r>
      <w:r w:rsidRPr="005F6787">
        <w:rPr>
          <w:szCs w:val="21"/>
        </w:rPr>
        <w:t>）</w:t>
      </w:r>
      <w:r w:rsidRPr="005F6787">
        <w:rPr>
          <w:szCs w:val="21"/>
        </w:rPr>
        <w:t> →</w:t>
      </w:r>
      <w:r w:rsidRPr="005F6787">
        <w:rPr>
          <w:szCs w:val="21"/>
        </w:rPr>
        <w:t xml:space="preserve">　谷本圭子</w:t>
      </w:r>
      <w:r w:rsidRPr="005F6787">
        <w:rPr>
          <w:szCs w:val="21"/>
        </w:rPr>
        <w:t>[1996]</w:t>
      </w:r>
    </w:p>
    <w:p w14:paraId="5F3815C6" w14:textId="77777777" w:rsidR="00EA3CBA" w:rsidRPr="005F6787" w:rsidRDefault="003E7FA0" w:rsidP="00FD34D4">
      <w:pPr>
        <w:rPr>
          <w:szCs w:val="21"/>
        </w:rPr>
      </w:pPr>
      <w:hyperlink r:id="rId16" w:history="1">
        <w:r w:rsidR="00EA3CBA" w:rsidRPr="005F6787">
          <w:rPr>
            <w:rStyle w:val="a3"/>
            <w:color w:val="auto"/>
            <w:szCs w:val="21"/>
          </w:rPr>
          <w:t>http://www.ritsumei.ac.jp/acd/cg/law/lex/96-3/tanimoto.htm</w:t>
        </w:r>
      </w:hyperlink>
    </w:p>
    <w:p w14:paraId="05A82679" w14:textId="77777777" w:rsidR="002972CB" w:rsidRPr="005F6787" w:rsidRDefault="002972CB" w:rsidP="002972CB">
      <w:pPr>
        <w:rPr>
          <w:szCs w:val="21"/>
        </w:rPr>
      </w:pPr>
      <w:r w:rsidRPr="005F6787">
        <w:rPr>
          <w:szCs w:val="21"/>
        </w:rPr>
        <w:t>玉蟲由樹「ドイツにおける情報自己決定権について」上智法学論集</w:t>
      </w:r>
      <w:r w:rsidRPr="005F6787">
        <w:rPr>
          <w:szCs w:val="21"/>
        </w:rPr>
        <w:t xml:space="preserve"> 42 </w:t>
      </w:r>
      <w:r w:rsidRPr="005F6787">
        <w:rPr>
          <w:szCs w:val="21"/>
        </w:rPr>
        <w:t>巻</w:t>
      </w:r>
      <w:r w:rsidRPr="005F6787">
        <w:rPr>
          <w:szCs w:val="21"/>
        </w:rPr>
        <w:t xml:space="preserve"> 1 </w:t>
      </w:r>
      <w:r w:rsidRPr="005F6787">
        <w:rPr>
          <w:szCs w:val="21"/>
        </w:rPr>
        <w:t>号</w:t>
      </w:r>
      <w:r w:rsidRPr="005F6787">
        <w:rPr>
          <w:szCs w:val="21"/>
        </w:rPr>
        <w:t xml:space="preserve">115 </w:t>
      </w:r>
      <w:r w:rsidRPr="005F6787">
        <w:rPr>
          <w:szCs w:val="21"/>
        </w:rPr>
        <w:t>頁以下（</w:t>
      </w:r>
      <w:r w:rsidRPr="005F6787">
        <w:rPr>
          <w:szCs w:val="21"/>
        </w:rPr>
        <w:t>1998</w:t>
      </w:r>
      <w:r w:rsidRPr="005F6787">
        <w:rPr>
          <w:szCs w:val="21"/>
        </w:rPr>
        <w:t>）</w:t>
      </w:r>
      <w:r w:rsidRPr="005F6787">
        <w:rPr>
          <w:szCs w:val="21"/>
        </w:rPr>
        <w:t>→</w:t>
      </w:r>
      <w:r w:rsidRPr="005F6787">
        <w:rPr>
          <w:szCs w:val="21"/>
        </w:rPr>
        <w:t xml:space="preserve">　玉蟲由樹</w:t>
      </w:r>
      <w:r w:rsidRPr="005F6787">
        <w:rPr>
          <w:szCs w:val="21"/>
        </w:rPr>
        <w:t>[1998]</w:t>
      </w:r>
    </w:p>
    <w:p w14:paraId="1ED8A5C2" w14:textId="77777777" w:rsidR="002972CB" w:rsidRPr="005F6787" w:rsidRDefault="002972CB" w:rsidP="002972CB">
      <w:pPr>
        <w:rPr>
          <w:szCs w:val="21"/>
        </w:rPr>
      </w:pPr>
      <w:r w:rsidRPr="005F6787">
        <w:rPr>
          <w:szCs w:val="21"/>
        </w:rPr>
        <w:t>土田和博「デジタルプラットフォームと独占禁止法・総論」法律時報</w:t>
      </w:r>
      <w:r w:rsidRPr="005F6787">
        <w:rPr>
          <w:szCs w:val="21"/>
        </w:rPr>
        <w:t>91</w:t>
      </w:r>
      <w:r w:rsidRPr="005F6787">
        <w:rPr>
          <w:szCs w:val="21"/>
        </w:rPr>
        <w:t>巻</w:t>
      </w:r>
      <w:r w:rsidRPr="005F6787">
        <w:rPr>
          <w:szCs w:val="21"/>
        </w:rPr>
        <w:t>5</w:t>
      </w:r>
      <w:r w:rsidRPr="005F6787">
        <w:rPr>
          <w:szCs w:val="21"/>
        </w:rPr>
        <w:t>号（通巻</w:t>
      </w:r>
      <w:r w:rsidRPr="005F6787">
        <w:rPr>
          <w:szCs w:val="21"/>
        </w:rPr>
        <w:t>1135</w:t>
      </w:r>
      <w:r w:rsidRPr="005F6787">
        <w:rPr>
          <w:szCs w:val="21"/>
        </w:rPr>
        <w:t>号）</w:t>
      </w:r>
      <w:r w:rsidRPr="005F6787">
        <w:rPr>
          <w:szCs w:val="21"/>
        </w:rPr>
        <w:t>54</w:t>
      </w:r>
      <w:r w:rsidRPr="005F6787">
        <w:rPr>
          <w:szCs w:val="21"/>
        </w:rPr>
        <w:t>頁以下</w:t>
      </w:r>
      <w:r w:rsidRPr="005F6787">
        <w:rPr>
          <w:szCs w:val="21"/>
        </w:rPr>
        <w:t>→</w:t>
      </w:r>
      <w:r w:rsidRPr="005F6787">
        <w:rPr>
          <w:szCs w:val="21"/>
        </w:rPr>
        <w:t xml:space="preserve">　土田和博</w:t>
      </w:r>
      <w:r w:rsidRPr="005F6787">
        <w:rPr>
          <w:szCs w:val="21"/>
        </w:rPr>
        <w:t>[2019]</w:t>
      </w:r>
    </w:p>
    <w:p w14:paraId="785BC6FC"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な</w:t>
      </w:r>
    </w:p>
    <w:p w14:paraId="73EDA4A2" w14:textId="77777777" w:rsidR="002972CB" w:rsidRPr="005F6787" w:rsidRDefault="002972CB" w:rsidP="002972CB">
      <w:pPr>
        <w:rPr>
          <w:szCs w:val="21"/>
        </w:rPr>
      </w:pPr>
      <w:r w:rsidRPr="005F6787">
        <w:rPr>
          <w:szCs w:val="21"/>
        </w:rPr>
        <w:t>中島美香「</w:t>
      </w:r>
      <w:r w:rsidRPr="005F6787">
        <w:rPr>
          <w:szCs w:val="21"/>
        </w:rPr>
        <w:t>Google</w:t>
      </w:r>
      <w:r w:rsidRPr="005F6787">
        <w:rPr>
          <w:szCs w:val="21"/>
        </w:rPr>
        <w:t>に対する</w:t>
      </w:r>
      <w:r w:rsidRPr="005F6787">
        <w:rPr>
          <w:szCs w:val="21"/>
        </w:rPr>
        <w:t>EU</w:t>
      </w:r>
      <w:r w:rsidRPr="005F6787">
        <w:rPr>
          <w:szCs w:val="21"/>
        </w:rPr>
        <w:t>競争法上の３つの異議告知事案」</w:t>
      </w:r>
      <w:r w:rsidRPr="005F6787">
        <w:rPr>
          <w:szCs w:val="21"/>
        </w:rPr>
        <w:t>InfoComREVIEW 69</w:t>
      </w:r>
      <w:r w:rsidRPr="005F6787">
        <w:rPr>
          <w:szCs w:val="21"/>
        </w:rPr>
        <w:t>号</w:t>
      </w:r>
      <w:r w:rsidRPr="005F6787">
        <w:rPr>
          <w:szCs w:val="21"/>
        </w:rPr>
        <w:t>104</w:t>
      </w:r>
      <w:r w:rsidRPr="005F6787">
        <w:rPr>
          <w:szCs w:val="21"/>
        </w:rPr>
        <w:t>頁以下</w:t>
      </w:r>
      <w:r w:rsidRPr="005F6787">
        <w:rPr>
          <w:szCs w:val="21"/>
        </w:rPr>
        <w:t>(2017</w:t>
      </w:r>
      <w:r w:rsidRPr="005F6787">
        <w:rPr>
          <w:szCs w:val="21"/>
        </w:rPr>
        <w:t>）</w:t>
      </w:r>
      <w:r w:rsidRPr="005F6787">
        <w:rPr>
          <w:szCs w:val="21"/>
        </w:rPr>
        <w:t>→</w:t>
      </w:r>
      <w:r w:rsidRPr="005F6787">
        <w:rPr>
          <w:szCs w:val="21"/>
        </w:rPr>
        <w:t xml:space="preserve">　中島美香</w:t>
      </w:r>
      <w:r w:rsidRPr="005F6787">
        <w:rPr>
          <w:szCs w:val="21"/>
        </w:rPr>
        <w:t>[2017]</w:t>
      </w:r>
    </w:p>
    <w:p w14:paraId="7ED1DB0D"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は</w:t>
      </w:r>
    </w:p>
    <w:p w14:paraId="1C5B9EEB" w14:textId="0089E522" w:rsidR="0070238D" w:rsidRPr="005F6787" w:rsidRDefault="0070238D" w:rsidP="0070238D">
      <w:pPr>
        <w:rPr>
          <w:szCs w:val="21"/>
        </w:rPr>
      </w:pPr>
      <w:bookmarkStart w:id="29" w:name="_Hlk58747204"/>
      <w:r w:rsidRPr="005F6787">
        <w:rPr>
          <w:szCs w:val="21"/>
        </w:rPr>
        <w:t>原田昌和「巨額な共同責任の反良俗性</w:t>
      </w:r>
      <w:r w:rsidRPr="005F6787">
        <w:rPr>
          <w:szCs w:val="21"/>
        </w:rPr>
        <w:t>---</w:t>
      </w:r>
      <w:r w:rsidRPr="005F6787">
        <w:rPr>
          <w:szCs w:val="21"/>
        </w:rPr>
        <w:t>ドイツ良俗則の最近の展開（</w:t>
      </w:r>
      <w:r w:rsidRPr="005F6787">
        <w:rPr>
          <w:szCs w:val="21"/>
        </w:rPr>
        <w:t>1</w:t>
      </w:r>
      <w:r w:rsidRPr="005F6787">
        <w:rPr>
          <w:szCs w:val="21"/>
        </w:rPr>
        <w:t>）（</w:t>
      </w:r>
      <w:r w:rsidRPr="005F6787">
        <w:rPr>
          <w:szCs w:val="21"/>
        </w:rPr>
        <w:t>2</w:t>
      </w:r>
      <w:r w:rsidRPr="005F6787">
        <w:rPr>
          <w:szCs w:val="21"/>
        </w:rPr>
        <w:t>・完）」法学論叢</w:t>
      </w:r>
      <w:r w:rsidRPr="005F6787">
        <w:rPr>
          <w:szCs w:val="21"/>
        </w:rPr>
        <w:t>147</w:t>
      </w:r>
      <w:r w:rsidRPr="005F6787">
        <w:rPr>
          <w:szCs w:val="21"/>
        </w:rPr>
        <w:t>巻</w:t>
      </w:r>
      <w:r w:rsidRPr="005F6787">
        <w:rPr>
          <w:szCs w:val="21"/>
        </w:rPr>
        <w:t>1</w:t>
      </w:r>
      <w:r w:rsidRPr="005F6787">
        <w:rPr>
          <w:szCs w:val="21"/>
        </w:rPr>
        <w:t>号</w:t>
      </w:r>
      <w:r w:rsidRPr="005F6787">
        <w:rPr>
          <w:szCs w:val="21"/>
        </w:rPr>
        <w:t>24</w:t>
      </w:r>
      <w:r w:rsidRPr="005F6787">
        <w:rPr>
          <w:szCs w:val="21"/>
        </w:rPr>
        <w:t>頁以下、</w:t>
      </w:r>
      <w:r w:rsidRPr="005F6787">
        <w:rPr>
          <w:szCs w:val="21"/>
        </w:rPr>
        <w:t>148</w:t>
      </w:r>
      <w:r w:rsidRPr="005F6787">
        <w:rPr>
          <w:szCs w:val="21"/>
        </w:rPr>
        <w:t>巻</w:t>
      </w:r>
      <w:r w:rsidRPr="005F6787">
        <w:rPr>
          <w:szCs w:val="21"/>
        </w:rPr>
        <w:t>1</w:t>
      </w:r>
      <w:r w:rsidRPr="005F6787">
        <w:rPr>
          <w:szCs w:val="21"/>
        </w:rPr>
        <w:t>号</w:t>
      </w:r>
      <w:r w:rsidRPr="005F6787">
        <w:rPr>
          <w:szCs w:val="21"/>
        </w:rPr>
        <w:t>85</w:t>
      </w:r>
      <w:r w:rsidRPr="005F6787">
        <w:rPr>
          <w:szCs w:val="21"/>
        </w:rPr>
        <w:t>頁以下（</w:t>
      </w:r>
      <w:r w:rsidRPr="005F6787">
        <w:rPr>
          <w:szCs w:val="21"/>
        </w:rPr>
        <w:t>2000</w:t>
      </w:r>
      <w:r w:rsidRPr="005F6787">
        <w:rPr>
          <w:szCs w:val="21"/>
        </w:rPr>
        <w:t>）</w:t>
      </w:r>
      <w:r w:rsidRPr="005F6787">
        <w:rPr>
          <w:szCs w:val="21"/>
        </w:rPr>
        <w:t>→</w:t>
      </w:r>
      <w:r w:rsidRPr="005F6787">
        <w:rPr>
          <w:szCs w:val="21"/>
        </w:rPr>
        <w:t xml:space="preserve">　原田昌和</w:t>
      </w:r>
      <w:r w:rsidRPr="005F6787">
        <w:rPr>
          <w:szCs w:val="21"/>
        </w:rPr>
        <w:t xml:space="preserve">[2000] </w:t>
      </w:r>
    </w:p>
    <w:p w14:paraId="01EC4F94" w14:textId="77777777" w:rsidR="0070238D" w:rsidRPr="005F6787" w:rsidRDefault="0070238D" w:rsidP="0070238D">
      <w:pPr>
        <w:rPr>
          <w:szCs w:val="21"/>
        </w:rPr>
      </w:pPr>
      <w:r w:rsidRPr="005F6787">
        <w:rPr>
          <w:szCs w:val="21"/>
        </w:rPr>
        <w:t>原田昌和「極端に巨額な保証債務の反良俗性</w:t>
      </w:r>
      <w:r w:rsidRPr="005F6787">
        <w:rPr>
          <w:szCs w:val="21"/>
        </w:rPr>
        <w:t>---</w:t>
      </w:r>
      <w:r w:rsidRPr="005F6787">
        <w:rPr>
          <w:szCs w:val="21"/>
        </w:rPr>
        <w:t>ドイツ良俗則の最近の展開（</w:t>
      </w:r>
      <w:r w:rsidRPr="005F6787">
        <w:rPr>
          <w:szCs w:val="21"/>
        </w:rPr>
        <w:t>1</w:t>
      </w:r>
      <w:r w:rsidRPr="005F6787">
        <w:rPr>
          <w:szCs w:val="21"/>
        </w:rPr>
        <w:t>）（</w:t>
      </w:r>
      <w:r w:rsidRPr="005F6787">
        <w:rPr>
          <w:szCs w:val="21"/>
        </w:rPr>
        <w:t>2</w:t>
      </w:r>
      <w:r w:rsidRPr="005F6787">
        <w:rPr>
          <w:szCs w:val="21"/>
        </w:rPr>
        <w:t>・完）」法学論叢</w:t>
      </w:r>
      <w:r w:rsidRPr="005F6787">
        <w:rPr>
          <w:szCs w:val="21"/>
        </w:rPr>
        <w:t>148</w:t>
      </w:r>
      <w:r w:rsidRPr="005F6787">
        <w:rPr>
          <w:szCs w:val="21"/>
        </w:rPr>
        <w:t>巻</w:t>
      </w:r>
      <w:r w:rsidRPr="005F6787">
        <w:rPr>
          <w:szCs w:val="21"/>
        </w:rPr>
        <w:t>2</w:t>
      </w:r>
      <w:r w:rsidRPr="005F6787">
        <w:rPr>
          <w:szCs w:val="21"/>
        </w:rPr>
        <w:t>号</w:t>
      </w:r>
      <w:r w:rsidRPr="005F6787">
        <w:rPr>
          <w:szCs w:val="21"/>
        </w:rPr>
        <w:t>18</w:t>
      </w:r>
      <w:r w:rsidRPr="005F6787">
        <w:rPr>
          <w:szCs w:val="21"/>
        </w:rPr>
        <w:t>頁以下（</w:t>
      </w:r>
      <w:r w:rsidRPr="005F6787">
        <w:rPr>
          <w:szCs w:val="21"/>
        </w:rPr>
        <w:t>2000</w:t>
      </w:r>
      <w:r w:rsidRPr="005F6787">
        <w:rPr>
          <w:szCs w:val="21"/>
        </w:rPr>
        <w:t>）、</w:t>
      </w:r>
      <w:r w:rsidRPr="005F6787">
        <w:rPr>
          <w:szCs w:val="21"/>
        </w:rPr>
        <w:t>149</w:t>
      </w:r>
      <w:r w:rsidRPr="005F6787">
        <w:rPr>
          <w:szCs w:val="21"/>
        </w:rPr>
        <w:t>巻</w:t>
      </w:r>
      <w:r w:rsidRPr="005F6787">
        <w:rPr>
          <w:szCs w:val="21"/>
        </w:rPr>
        <w:t>1</w:t>
      </w:r>
      <w:r w:rsidRPr="005F6787">
        <w:rPr>
          <w:szCs w:val="21"/>
        </w:rPr>
        <w:t>号</w:t>
      </w:r>
      <w:r w:rsidRPr="005F6787">
        <w:rPr>
          <w:szCs w:val="21"/>
        </w:rPr>
        <w:t>46</w:t>
      </w:r>
      <w:r w:rsidRPr="005F6787">
        <w:rPr>
          <w:szCs w:val="21"/>
        </w:rPr>
        <w:t>頁以下</w:t>
      </w:r>
      <w:r w:rsidRPr="005F6787">
        <w:rPr>
          <w:szCs w:val="21"/>
        </w:rPr>
        <w:t>(2001)→</w:t>
      </w:r>
      <w:r w:rsidRPr="005F6787">
        <w:rPr>
          <w:szCs w:val="21"/>
        </w:rPr>
        <w:t xml:space="preserve">　原田昌和</w:t>
      </w:r>
      <w:r w:rsidRPr="005F6787">
        <w:rPr>
          <w:szCs w:val="21"/>
        </w:rPr>
        <w:t>[2000-01]</w:t>
      </w:r>
    </w:p>
    <w:p w14:paraId="61B588B3" w14:textId="77777777" w:rsidR="0070238D" w:rsidRPr="005F6787" w:rsidRDefault="0070238D" w:rsidP="0070238D">
      <w:pPr>
        <w:rPr>
          <w:szCs w:val="21"/>
        </w:rPr>
      </w:pPr>
      <w:r w:rsidRPr="005F6787">
        <w:rPr>
          <w:szCs w:val="21"/>
        </w:rPr>
        <w:t>原田昌和「</w:t>
      </w:r>
      <w:r w:rsidRPr="005F6787">
        <w:rPr>
          <w:szCs w:val="21"/>
        </w:rPr>
        <w:t>itibumukouno ronri ――</w:t>
      </w:r>
      <w:r w:rsidRPr="005F6787">
        <w:rPr>
          <w:szCs w:val="21"/>
        </w:rPr>
        <w:t>高額な反対給付の縮減に関するドイツ法の最近の展開」甲南法学</w:t>
      </w:r>
      <w:r w:rsidRPr="005F6787">
        <w:rPr>
          <w:szCs w:val="21"/>
        </w:rPr>
        <w:t>42</w:t>
      </w:r>
      <w:r w:rsidRPr="005F6787">
        <w:rPr>
          <w:szCs w:val="21"/>
        </w:rPr>
        <w:t>巻</w:t>
      </w:r>
      <w:r w:rsidRPr="005F6787">
        <w:rPr>
          <w:szCs w:val="21"/>
        </w:rPr>
        <w:t>3</w:t>
      </w:r>
      <w:r w:rsidRPr="005F6787">
        <w:rPr>
          <w:szCs w:val="21"/>
        </w:rPr>
        <w:t>・</w:t>
      </w:r>
      <w:r w:rsidRPr="005F6787">
        <w:rPr>
          <w:szCs w:val="21"/>
        </w:rPr>
        <w:t>4</w:t>
      </w:r>
      <w:r w:rsidRPr="005F6787">
        <w:rPr>
          <w:szCs w:val="21"/>
        </w:rPr>
        <w:t>号</w:t>
      </w:r>
      <w:r w:rsidRPr="005F6787">
        <w:rPr>
          <w:szCs w:val="21"/>
        </w:rPr>
        <w:t>389</w:t>
      </w:r>
      <w:r w:rsidRPr="005F6787">
        <w:rPr>
          <w:szCs w:val="21"/>
        </w:rPr>
        <w:t>頁以下（</w:t>
      </w:r>
      <w:r w:rsidRPr="005F6787">
        <w:rPr>
          <w:szCs w:val="21"/>
        </w:rPr>
        <w:t>2002</w:t>
      </w:r>
      <w:r w:rsidRPr="005F6787">
        <w:rPr>
          <w:szCs w:val="21"/>
        </w:rPr>
        <w:t>）</w:t>
      </w:r>
      <w:r w:rsidRPr="005F6787">
        <w:rPr>
          <w:szCs w:val="21"/>
        </w:rPr>
        <w:t>→</w:t>
      </w:r>
      <w:r w:rsidRPr="005F6787">
        <w:rPr>
          <w:szCs w:val="21"/>
        </w:rPr>
        <w:t xml:space="preserve">　原田昌和</w:t>
      </w:r>
      <w:r w:rsidRPr="005F6787">
        <w:rPr>
          <w:szCs w:val="21"/>
        </w:rPr>
        <w:t>[2002]</w:t>
      </w:r>
    </w:p>
    <w:bookmarkEnd w:id="29"/>
    <w:p w14:paraId="53CD79D5" w14:textId="77777777" w:rsidR="002972CB" w:rsidRPr="005F6787" w:rsidRDefault="002972CB" w:rsidP="002972CB">
      <w:pPr>
        <w:rPr>
          <w:szCs w:val="21"/>
        </w:rPr>
      </w:pPr>
      <w:r w:rsidRPr="005F6787">
        <w:rPr>
          <w:szCs w:val="21"/>
        </w:rPr>
        <w:t>原田昌和「ドイツ旧約款規制法制定以前における連邦裁判所の約款規制法理について</w:t>
      </w:r>
      <w:r w:rsidRPr="005F6787">
        <w:rPr>
          <w:szCs w:val="21"/>
        </w:rPr>
        <w:t>(</w:t>
      </w:r>
      <w:r w:rsidRPr="005F6787">
        <w:rPr>
          <w:szCs w:val="21"/>
        </w:rPr>
        <w:t>１</w:t>
      </w:r>
      <w:r w:rsidRPr="005F6787">
        <w:rPr>
          <w:szCs w:val="21"/>
        </w:rPr>
        <w:t>) (</w:t>
      </w:r>
      <w:r w:rsidRPr="005F6787">
        <w:rPr>
          <w:szCs w:val="21"/>
        </w:rPr>
        <w:t>２）</w:t>
      </w:r>
      <w:r w:rsidRPr="005F6787">
        <w:rPr>
          <w:szCs w:val="21"/>
        </w:rPr>
        <w:t>-----</w:t>
      </w:r>
      <w:r w:rsidRPr="005F6787">
        <w:rPr>
          <w:szCs w:val="21"/>
        </w:rPr>
        <w:t>内容規制の法理論的基礎の検討に向けて一一」立教法学</w:t>
      </w:r>
      <w:r w:rsidRPr="005F6787">
        <w:rPr>
          <w:szCs w:val="21"/>
        </w:rPr>
        <w:t>73</w:t>
      </w:r>
      <w:r w:rsidRPr="005F6787">
        <w:rPr>
          <w:szCs w:val="21"/>
        </w:rPr>
        <w:t>号</w:t>
      </w:r>
      <w:r w:rsidRPr="005F6787">
        <w:rPr>
          <w:szCs w:val="21"/>
        </w:rPr>
        <w:t>105</w:t>
      </w:r>
      <w:r w:rsidRPr="005F6787">
        <w:rPr>
          <w:szCs w:val="21"/>
        </w:rPr>
        <w:t>頁</w:t>
      </w:r>
      <w:r w:rsidRPr="005F6787">
        <w:rPr>
          <w:szCs w:val="21"/>
        </w:rPr>
        <w:t>(2007</w:t>
      </w:r>
      <w:r w:rsidRPr="005F6787">
        <w:rPr>
          <w:szCs w:val="21"/>
        </w:rPr>
        <w:t>），</w:t>
      </w:r>
      <w:r w:rsidRPr="005F6787">
        <w:rPr>
          <w:szCs w:val="21"/>
        </w:rPr>
        <w:t>75</w:t>
      </w:r>
      <w:r w:rsidRPr="005F6787">
        <w:rPr>
          <w:szCs w:val="21"/>
        </w:rPr>
        <w:lastRenderedPageBreak/>
        <w:t>号</w:t>
      </w:r>
      <w:r w:rsidRPr="005F6787">
        <w:rPr>
          <w:szCs w:val="21"/>
        </w:rPr>
        <w:t>215</w:t>
      </w:r>
      <w:r w:rsidRPr="005F6787">
        <w:rPr>
          <w:szCs w:val="21"/>
        </w:rPr>
        <w:t>頁以下</w:t>
      </w:r>
      <w:r w:rsidRPr="005F6787">
        <w:rPr>
          <w:szCs w:val="21"/>
        </w:rPr>
        <w:t>(2008</w:t>
      </w:r>
      <w:r w:rsidRPr="005F6787">
        <w:rPr>
          <w:szCs w:val="21"/>
        </w:rPr>
        <w:t xml:space="preserve">）　</w:t>
      </w:r>
      <w:r w:rsidRPr="005F6787">
        <w:rPr>
          <w:szCs w:val="21"/>
        </w:rPr>
        <w:t>→</w:t>
      </w:r>
      <w:r w:rsidRPr="005F6787">
        <w:rPr>
          <w:szCs w:val="21"/>
        </w:rPr>
        <w:t xml:space="preserve">　原田昌和</w:t>
      </w:r>
      <w:r w:rsidRPr="005F6787">
        <w:rPr>
          <w:szCs w:val="21"/>
        </w:rPr>
        <w:t>[2007-08]</w:t>
      </w:r>
    </w:p>
    <w:p w14:paraId="0CC7C0D1" w14:textId="77777777" w:rsidR="002E476C" w:rsidRPr="005F6787" w:rsidRDefault="002E476C" w:rsidP="002E476C">
      <w:pPr>
        <w:rPr>
          <w:szCs w:val="21"/>
        </w:rPr>
      </w:pPr>
      <w:r w:rsidRPr="005F6787">
        <w:rPr>
          <w:szCs w:val="21"/>
        </w:rPr>
        <w:t>平松毅「自己情報決定権と国勢調査」『ドイツの憲法判例』</w:t>
      </w:r>
      <w:r w:rsidRPr="005F6787">
        <w:rPr>
          <w:szCs w:val="21"/>
        </w:rPr>
        <w:t>(</w:t>
      </w:r>
      <w:r w:rsidRPr="005F6787">
        <w:rPr>
          <w:szCs w:val="21"/>
        </w:rPr>
        <w:t>信山社、</w:t>
      </w:r>
      <w:r w:rsidRPr="005F6787">
        <w:rPr>
          <w:szCs w:val="21"/>
        </w:rPr>
        <w:t>1996)42</w:t>
      </w:r>
      <w:r w:rsidRPr="005F6787">
        <w:rPr>
          <w:szCs w:val="21"/>
        </w:rPr>
        <w:t xml:space="preserve">頁以下　</w:t>
      </w:r>
      <w:r w:rsidRPr="005F6787">
        <w:rPr>
          <w:szCs w:val="21"/>
        </w:rPr>
        <w:t>→</w:t>
      </w:r>
      <w:r w:rsidRPr="005F6787">
        <w:rPr>
          <w:szCs w:val="21"/>
        </w:rPr>
        <w:t xml:space="preserve">　平松毅</w:t>
      </w:r>
      <w:r w:rsidRPr="005F6787">
        <w:rPr>
          <w:szCs w:val="21"/>
        </w:rPr>
        <w:t>[1996]</w:t>
      </w:r>
    </w:p>
    <w:p w14:paraId="663CBCA2" w14:textId="15723FC2" w:rsidR="00F5058E" w:rsidRPr="005F6787" w:rsidRDefault="00F5058E" w:rsidP="00F5058E">
      <w:pPr>
        <w:rPr>
          <w:szCs w:val="21"/>
        </w:rPr>
      </w:pPr>
      <w:bookmarkStart w:id="30" w:name="_Hlk58749270"/>
      <w:r w:rsidRPr="005F6787">
        <w:rPr>
          <w:szCs w:val="21"/>
        </w:rPr>
        <w:t>平松毅「自己情報決定権と国勢調査」『ドイツの憲法判例</w:t>
      </w:r>
      <w:r w:rsidRPr="005F6787">
        <w:rPr>
          <w:rFonts w:ascii="ＭＳ 明朝" w:eastAsia="ＭＳ 明朝" w:hAnsi="ＭＳ 明朝" w:cs="ＭＳ 明朝" w:hint="eastAsia"/>
          <w:szCs w:val="21"/>
        </w:rPr>
        <w:t>Ⅰ</w:t>
      </w:r>
      <w:r w:rsidRPr="005F6787">
        <w:rPr>
          <w:szCs w:val="21"/>
        </w:rPr>
        <w:t>（第</w:t>
      </w:r>
      <w:r w:rsidRPr="005F6787">
        <w:rPr>
          <w:szCs w:val="21"/>
        </w:rPr>
        <w:t>2</w:t>
      </w:r>
      <w:r w:rsidRPr="005F6787">
        <w:rPr>
          <w:szCs w:val="21"/>
        </w:rPr>
        <w:t>版）』（信山社、</w:t>
      </w:r>
      <w:r w:rsidRPr="005F6787">
        <w:rPr>
          <w:szCs w:val="21"/>
        </w:rPr>
        <w:t>2003</w:t>
      </w:r>
      <w:r w:rsidRPr="005F6787">
        <w:rPr>
          <w:szCs w:val="21"/>
        </w:rPr>
        <w:t>）</w:t>
      </w:r>
      <w:r w:rsidR="000136AD" w:rsidRPr="005F6787">
        <w:rPr>
          <w:szCs w:val="21"/>
        </w:rPr>
        <w:t>60</w:t>
      </w:r>
      <w:r w:rsidR="000136AD" w:rsidRPr="005F6787">
        <w:rPr>
          <w:szCs w:val="21"/>
        </w:rPr>
        <w:t xml:space="preserve">頁以下　</w:t>
      </w:r>
      <w:r w:rsidRPr="005F6787">
        <w:rPr>
          <w:szCs w:val="21"/>
        </w:rPr>
        <w:t>→</w:t>
      </w:r>
      <w:r w:rsidRPr="005F6787">
        <w:rPr>
          <w:szCs w:val="21"/>
        </w:rPr>
        <w:t xml:space="preserve">　</w:t>
      </w:r>
      <w:r w:rsidR="000136AD" w:rsidRPr="005F6787">
        <w:rPr>
          <w:szCs w:val="21"/>
        </w:rPr>
        <w:t>平松毅</w:t>
      </w:r>
      <w:r w:rsidR="000136AD" w:rsidRPr="005F6787">
        <w:rPr>
          <w:szCs w:val="21"/>
        </w:rPr>
        <w:t>[2003]</w:t>
      </w:r>
    </w:p>
    <w:bookmarkEnd w:id="30"/>
    <w:p w14:paraId="431D8139" w14:textId="463CD147" w:rsidR="002972CB" w:rsidRPr="005F6787" w:rsidRDefault="002972CB" w:rsidP="002972CB">
      <w:pPr>
        <w:rPr>
          <w:szCs w:val="21"/>
        </w:rPr>
      </w:pPr>
      <w:r w:rsidRPr="005F6787">
        <w:rPr>
          <w:szCs w:val="21"/>
        </w:rPr>
        <w:t>藤原</w:t>
      </w:r>
      <w:r w:rsidR="0039127A" w:rsidRPr="005F6787">
        <w:rPr>
          <w:szCs w:val="21"/>
        </w:rPr>
        <w:t>靜雄</w:t>
      </w:r>
      <w:r w:rsidRPr="005F6787">
        <w:rPr>
          <w:szCs w:val="21"/>
        </w:rPr>
        <w:t>「西ドイツ国勢調査判決における『情報の自己決定権』」一橋論叢</w:t>
      </w:r>
      <w:r w:rsidRPr="005F6787">
        <w:rPr>
          <w:szCs w:val="21"/>
        </w:rPr>
        <w:t xml:space="preserve"> 94 </w:t>
      </w:r>
      <w:r w:rsidRPr="005F6787">
        <w:rPr>
          <w:szCs w:val="21"/>
        </w:rPr>
        <w:t>巻</w:t>
      </w:r>
      <w:r w:rsidRPr="005F6787">
        <w:rPr>
          <w:szCs w:val="21"/>
        </w:rPr>
        <w:t xml:space="preserve"> 5 </w:t>
      </w:r>
      <w:r w:rsidRPr="005F6787">
        <w:rPr>
          <w:szCs w:val="21"/>
        </w:rPr>
        <w:t>号</w:t>
      </w:r>
      <w:r w:rsidRPr="005F6787">
        <w:rPr>
          <w:szCs w:val="21"/>
        </w:rPr>
        <w:t xml:space="preserve">728 </w:t>
      </w:r>
      <w:r w:rsidRPr="005F6787">
        <w:rPr>
          <w:szCs w:val="21"/>
        </w:rPr>
        <w:t>頁以下（</w:t>
      </w:r>
      <w:r w:rsidRPr="005F6787">
        <w:rPr>
          <w:szCs w:val="21"/>
        </w:rPr>
        <w:t>1985</w:t>
      </w:r>
      <w:r w:rsidRPr="005F6787">
        <w:rPr>
          <w:szCs w:val="21"/>
        </w:rPr>
        <w:t>）</w:t>
      </w:r>
      <w:r w:rsidRPr="005F6787">
        <w:rPr>
          <w:szCs w:val="21"/>
        </w:rPr>
        <w:t>→</w:t>
      </w:r>
      <w:r w:rsidRPr="005F6787">
        <w:rPr>
          <w:szCs w:val="21"/>
        </w:rPr>
        <w:t xml:space="preserve">　藤原</w:t>
      </w:r>
      <w:r w:rsidR="0039127A" w:rsidRPr="005F6787">
        <w:rPr>
          <w:szCs w:val="21"/>
        </w:rPr>
        <w:t>靜雄</w:t>
      </w:r>
      <w:r w:rsidRPr="005F6787">
        <w:rPr>
          <w:szCs w:val="21"/>
        </w:rPr>
        <w:t>[1985]</w:t>
      </w:r>
    </w:p>
    <w:p w14:paraId="5DF33089" w14:textId="08D62CE6" w:rsidR="002972CB" w:rsidRPr="005F6787" w:rsidRDefault="002972CB" w:rsidP="002972CB">
      <w:pPr>
        <w:rPr>
          <w:szCs w:val="21"/>
        </w:rPr>
      </w:pPr>
      <w:r w:rsidRPr="005F6787">
        <w:rPr>
          <w:szCs w:val="21"/>
        </w:rPr>
        <w:t>藤原</w:t>
      </w:r>
      <w:r w:rsidR="0039127A" w:rsidRPr="005F6787">
        <w:rPr>
          <w:szCs w:val="21"/>
        </w:rPr>
        <w:t>靜雄</w:t>
      </w:r>
      <w:r w:rsidRPr="005F6787">
        <w:rPr>
          <w:szCs w:val="21"/>
        </w:rPr>
        <w:t>「個人情報保護に関する国際的ハーモナイゼーション」論究ジユリ</w:t>
      </w:r>
      <w:r w:rsidRPr="005F6787">
        <w:rPr>
          <w:szCs w:val="21"/>
        </w:rPr>
        <w:t>18</w:t>
      </w:r>
      <w:r w:rsidRPr="005F6787">
        <w:rPr>
          <w:szCs w:val="21"/>
        </w:rPr>
        <w:t>号</w:t>
      </w:r>
      <w:r w:rsidRPr="005F6787">
        <w:rPr>
          <w:szCs w:val="21"/>
        </w:rPr>
        <w:t>64</w:t>
      </w:r>
      <w:r w:rsidRPr="005F6787">
        <w:rPr>
          <w:szCs w:val="21"/>
        </w:rPr>
        <w:t>頁以下（</w:t>
      </w:r>
      <w:r w:rsidRPr="005F6787">
        <w:rPr>
          <w:szCs w:val="21"/>
        </w:rPr>
        <w:t>2016</w:t>
      </w:r>
      <w:r w:rsidRPr="005F6787">
        <w:rPr>
          <w:szCs w:val="21"/>
        </w:rPr>
        <w:t>）</w:t>
      </w:r>
      <w:r w:rsidRPr="005F6787">
        <w:rPr>
          <w:szCs w:val="21"/>
        </w:rPr>
        <w:t>→</w:t>
      </w:r>
      <w:r w:rsidRPr="005F6787">
        <w:rPr>
          <w:szCs w:val="21"/>
        </w:rPr>
        <w:t xml:space="preserve">　藤原</w:t>
      </w:r>
      <w:r w:rsidR="0039127A" w:rsidRPr="005F6787">
        <w:rPr>
          <w:szCs w:val="21"/>
        </w:rPr>
        <w:t>靜雄</w:t>
      </w:r>
      <w:r w:rsidRPr="005F6787">
        <w:rPr>
          <w:szCs w:val="21"/>
        </w:rPr>
        <w:t>[2016]</w:t>
      </w:r>
    </w:p>
    <w:p w14:paraId="5599E6E3" w14:textId="7F39B83A" w:rsidR="002972CB" w:rsidRPr="005F6787" w:rsidRDefault="002972CB" w:rsidP="002972CB">
      <w:pPr>
        <w:rPr>
          <w:szCs w:val="21"/>
        </w:rPr>
      </w:pPr>
      <w:r w:rsidRPr="005F6787">
        <w:rPr>
          <w:szCs w:val="21"/>
        </w:rPr>
        <w:t>藤原</w:t>
      </w:r>
      <w:r w:rsidR="0039127A" w:rsidRPr="005F6787">
        <w:rPr>
          <w:szCs w:val="21"/>
        </w:rPr>
        <w:t>靜雄</w:t>
      </w:r>
      <w:r w:rsidRPr="005F6787">
        <w:rPr>
          <w:szCs w:val="21"/>
        </w:rPr>
        <w:t>「日本と</w:t>
      </w:r>
      <w:r w:rsidRPr="005F6787">
        <w:rPr>
          <w:szCs w:val="21"/>
        </w:rPr>
        <w:t>EU</w:t>
      </w:r>
      <w:r w:rsidRPr="005F6787">
        <w:rPr>
          <w:szCs w:val="21"/>
        </w:rPr>
        <w:t>の個人情報保護法制の比較」ジュリ</w:t>
      </w:r>
      <w:r w:rsidRPr="005F6787">
        <w:rPr>
          <w:szCs w:val="21"/>
        </w:rPr>
        <w:t>1521</w:t>
      </w:r>
      <w:r w:rsidRPr="005F6787">
        <w:rPr>
          <w:szCs w:val="21"/>
        </w:rPr>
        <w:t>号</w:t>
      </w:r>
      <w:r w:rsidRPr="005F6787">
        <w:rPr>
          <w:szCs w:val="21"/>
        </w:rPr>
        <w:t>14</w:t>
      </w:r>
      <w:r w:rsidRPr="005F6787">
        <w:rPr>
          <w:szCs w:val="21"/>
        </w:rPr>
        <w:t>頁以下（</w:t>
      </w:r>
      <w:r w:rsidRPr="005F6787">
        <w:rPr>
          <w:szCs w:val="21"/>
        </w:rPr>
        <w:t>2018</w:t>
      </w:r>
      <w:r w:rsidRPr="005F6787">
        <w:rPr>
          <w:szCs w:val="21"/>
        </w:rPr>
        <w:t>）</w:t>
      </w:r>
      <w:r w:rsidRPr="005F6787">
        <w:rPr>
          <w:szCs w:val="21"/>
        </w:rPr>
        <w:t>→</w:t>
      </w:r>
      <w:r w:rsidRPr="005F6787">
        <w:rPr>
          <w:szCs w:val="21"/>
        </w:rPr>
        <w:t xml:space="preserve">　藤原</w:t>
      </w:r>
      <w:r w:rsidR="0039127A" w:rsidRPr="005F6787">
        <w:rPr>
          <w:szCs w:val="21"/>
        </w:rPr>
        <w:t>靜雄</w:t>
      </w:r>
      <w:r w:rsidRPr="005F6787">
        <w:rPr>
          <w:szCs w:val="21"/>
        </w:rPr>
        <w:t>[2018]</w:t>
      </w:r>
    </w:p>
    <w:p w14:paraId="0C3B7A9E" w14:textId="77777777" w:rsidR="002972CB" w:rsidRPr="005F6787" w:rsidRDefault="002972CB" w:rsidP="002972CB">
      <w:pPr>
        <w:rPr>
          <w:szCs w:val="21"/>
        </w:rPr>
      </w:pPr>
      <w:r w:rsidRPr="005F6787">
        <w:rPr>
          <w:szCs w:val="21"/>
        </w:rPr>
        <w:t>プレルス</w:t>
      </w:r>
      <w:r w:rsidRPr="005F6787">
        <w:rPr>
          <w:szCs w:val="21"/>
        </w:rPr>
        <w:t xml:space="preserve">, </w:t>
      </w:r>
      <w:r w:rsidRPr="005F6787">
        <w:rPr>
          <w:szCs w:val="21"/>
        </w:rPr>
        <w:t>ユルゲン（金岡京子訳）「約款のわかりやすさ</w:t>
      </w:r>
      <w:r w:rsidRPr="005F6787">
        <w:rPr>
          <w:szCs w:val="21"/>
        </w:rPr>
        <w:t>―</w:t>
      </w:r>
      <w:r w:rsidRPr="005F6787">
        <w:rPr>
          <w:szCs w:val="21"/>
        </w:rPr>
        <w:t>ドイツ法における不明確準則と透明性原則」明治学院大学・法学研究</w:t>
      </w:r>
      <w:r w:rsidRPr="005F6787">
        <w:rPr>
          <w:szCs w:val="21"/>
        </w:rPr>
        <w:t>91</w:t>
      </w:r>
      <w:r w:rsidRPr="005F6787">
        <w:rPr>
          <w:szCs w:val="21"/>
        </w:rPr>
        <w:t>号</w:t>
      </w:r>
      <w:r w:rsidRPr="005F6787">
        <w:rPr>
          <w:szCs w:val="21"/>
        </w:rPr>
        <w:t>233</w:t>
      </w:r>
      <w:r w:rsidRPr="005F6787">
        <w:rPr>
          <w:szCs w:val="21"/>
        </w:rPr>
        <w:t>頁以下（</w:t>
      </w:r>
      <w:r w:rsidRPr="005F6787">
        <w:rPr>
          <w:szCs w:val="21"/>
        </w:rPr>
        <w:t>2011</w:t>
      </w:r>
      <w:r w:rsidRPr="005F6787">
        <w:rPr>
          <w:szCs w:val="21"/>
        </w:rPr>
        <w:t>）</w:t>
      </w:r>
      <w:r w:rsidRPr="005F6787">
        <w:rPr>
          <w:szCs w:val="21"/>
        </w:rPr>
        <w:t>→</w:t>
      </w:r>
      <w:r w:rsidRPr="005F6787">
        <w:rPr>
          <w:szCs w:val="21"/>
        </w:rPr>
        <w:t xml:space="preserve">　プレルス</w:t>
      </w:r>
      <w:r w:rsidRPr="005F6787">
        <w:rPr>
          <w:szCs w:val="21"/>
        </w:rPr>
        <w:t>[2011]</w:t>
      </w:r>
    </w:p>
    <w:p w14:paraId="60DBC54E" w14:textId="77777777" w:rsidR="002972CB" w:rsidRPr="005F6787" w:rsidRDefault="002972CB" w:rsidP="002972CB">
      <w:pPr>
        <w:rPr>
          <w:szCs w:val="21"/>
        </w:rPr>
      </w:pPr>
      <w:r w:rsidRPr="005F6787">
        <w:rPr>
          <w:rFonts w:cs="Arial"/>
          <w:kern w:val="0"/>
          <w:szCs w:val="21"/>
        </w:rPr>
        <w:t>舟田『不公正な取引方法』（有斐閣、</w:t>
      </w:r>
      <w:r w:rsidRPr="005F6787">
        <w:rPr>
          <w:rFonts w:cs="Arial"/>
          <w:kern w:val="0"/>
          <w:szCs w:val="21"/>
        </w:rPr>
        <w:t>2009</w:t>
      </w:r>
      <w:r w:rsidRPr="005F6787">
        <w:rPr>
          <w:rFonts w:cs="Arial"/>
          <w:kern w:val="0"/>
          <w:szCs w:val="21"/>
        </w:rPr>
        <w:t>）</w:t>
      </w:r>
      <w:r w:rsidRPr="005F6787">
        <w:rPr>
          <w:rFonts w:cs="Arial"/>
          <w:kern w:val="0"/>
          <w:szCs w:val="21"/>
        </w:rPr>
        <w:t>→</w:t>
      </w:r>
      <w:r w:rsidRPr="005F6787">
        <w:rPr>
          <w:rFonts w:cs="Arial"/>
          <w:kern w:val="0"/>
          <w:szCs w:val="21"/>
        </w:rPr>
        <w:t xml:space="preserve">　舟田</w:t>
      </w:r>
      <w:r w:rsidRPr="005F6787">
        <w:rPr>
          <w:rFonts w:cs="Arial"/>
          <w:kern w:val="0"/>
          <w:szCs w:val="21"/>
        </w:rPr>
        <w:t>[2009]</w:t>
      </w:r>
    </w:p>
    <w:p w14:paraId="6A2D2D3B" w14:textId="77777777" w:rsidR="002972CB" w:rsidRPr="005F6787" w:rsidRDefault="001C0F4F" w:rsidP="002972CB">
      <w:pPr>
        <w:jc w:val="left"/>
        <w:rPr>
          <w:szCs w:val="21"/>
          <w:lang w:eastAsia="zh-CN"/>
        </w:rPr>
      </w:pPr>
      <w:r w:rsidRPr="005F6787">
        <w:rPr>
          <w:szCs w:val="21"/>
          <w:lang w:eastAsia="zh-CN"/>
        </w:rPr>
        <w:t>舟田</w:t>
      </w:r>
      <w:r w:rsidR="002972CB" w:rsidRPr="005F6787">
        <w:rPr>
          <w:szCs w:val="21"/>
          <w:lang w:eastAsia="zh-CN"/>
        </w:rPr>
        <w:t>「経済法序説（４）」立教法学</w:t>
      </w:r>
      <w:r w:rsidR="002972CB" w:rsidRPr="005F6787">
        <w:rPr>
          <w:szCs w:val="21"/>
          <w:lang w:eastAsia="zh-CN"/>
        </w:rPr>
        <w:t>94</w:t>
      </w:r>
      <w:r w:rsidR="002972CB" w:rsidRPr="005F6787">
        <w:rPr>
          <w:szCs w:val="21"/>
          <w:lang w:eastAsia="zh-CN"/>
        </w:rPr>
        <w:t>号</w:t>
      </w:r>
      <w:r w:rsidR="002972CB" w:rsidRPr="005F6787">
        <w:rPr>
          <w:szCs w:val="21"/>
          <w:lang w:eastAsia="zh-CN"/>
        </w:rPr>
        <w:t xml:space="preserve">197 </w:t>
      </w:r>
      <w:r w:rsidR="002972CB" w:rsidRPr="005F6787">
        <w:rPr>
          <w:szCs w:val="21"/>
          <w:lang w:eastAsia="zh-CN"/>
        </w:rPr>
        <w:t>頁以下</w:t>
      </w:r>
      <w:r w:rsidR="002972CB" w:rsidRPr="005F6787">
        <w:rPr>
          <w:szCs w:val="21"/>
          <w:lang w:eastAsia="zh-CN"/>
        </w:rPr>
        <w:t>(2016)</w:t>
      </w:r>
      <w:r w:rsidR="002972CB" w:rsidRPr="005F6787">
        <w:rPr>
          <w:szCs w:val="21"/>
          <w:lang w:eastAsia="zh-CN"/>
        </w:rPr>
        <w:t xml:space="preserve">　</w:t>
      </w:r>
      <w:r w:rsidR="002972CB" w:rsidRPr="005F6787">
        <w:rPr>
          <w:szCs w:val="21"/>
          <w:lang w:eastAsia="zh-CN"/>
        </w:rPr>
        <w:t>→</w:t>
      </w:r>
      <w:r w:rsidR="002972CB" w:rsidRPr="005F6787">
        <w:rPr>
          <w:szCs w:val="21"/>
          <w:lang w:eastAsia="zh-CN"/>
        </w:rPr>
        <w:t xml:space="preserve">　舟田</w:t>
      </w:r>
      <w:r w:rsidR="002972CB" w:rsidRPr="005F6787">
        <w:rPr>
          <w:szCs w:val="21"/>
          <w:lang w:eastAsia="zh-CN"/>
        </w:rPr>
        <w:t>[2016]</w:t>
      </w:r>
    </w:p>
    <w:p w14:paraId="622D1FDA" w14:textId="77777777" w:rsidR="002972CB" w:rsidRPr="005F6787" w:rsidRDefault="001C0F4F" w:rsidP="002972CB">
      <w:pPr>
        <w:rPr>
          <w:szCs w:val="21"/>
        </w:rPr>
      </w:pPr>
      <w:r w:rsidRPr="005F6787">
        <w:rPr>
          <w:szCs w:val="21"/>
        </w:rPr>
        <w:t>舟田</w:t>
      </w:r>
      <w:r w:rsidR="002972CB" w:rsidRPr="005F6787">
        <w:rPr>
          <w:szCs w:val="21"/>
        </w:rPr>
        <w:t>「『公正な競争』と取引の自由」舟田正之＝土田和博（編著）『独占禁止法とフェアコノミー』（日本評論社、</w:t>
      </w:r>
      <w:r w:rsidR="002972CB" w:rsidRPr="005F6787">
        <w:rPr>
          <w:szCs w:val="21"/>
        </w:rPr>
        <w:t>2017</w:t>
      </w:r>
      <w:r w:rsidR="002972CB" w:rsidRPr="005F6787">
        <w:rPr>
          <w:szCs w:val="21"/>
        </w:rPr>
        <w:t>）</w:t>
      </w:r>
      <w:r w:rsidR="002972CB" w:rsidRPr="005F6787">
        <w:rPr>
          <w:szCs w:val="21"/>
        </w:rPr>
        <w:t>3</w:t>
      </w:r>
      <w:r w:rsidR="002972CB" w:rsidRPr="005F6787">
        <w:rPr>
          <w:szCs w:val="21"/>
        </w:rPr>
        <w:t xml:space="preserve">頁以下　</w:t>
      </w:r>
      <w:r w:rsidR="002972CB" w:rsidRPr="005F6787">
        <w:rPr>
          <w:szCs w:val="21"/>
        </w:rPr>
        <w:t>→</w:t>
      </w:r>
      <w:r w:rsidR="002972CB" w:rsidRPr="005F6787">
        <w:rPr>
          <w:szCs w:val="21"/>
        </w:rPr>
        <w:t xml:space="preserve">　舟田</w:t>
      </w:r>
      <w:r w:rsidR="002972CB" w:rsidRPr="005F6787">
        <w:rPr>
          <w:szCs w:val="21"/>
        </w:rPr>
        <w:t>[2017a]</w:t>
      </w:r>
    </w:p>
    <w:p w14:paraId="782BCBDA" w14:textId="77777777" w:rsidR="002972CB" w:rsidRPr="005F6787" w:rsidRDefault="001C0F4F" w:rsidP="002972CB">
      <w:pPr>
        <w:rPr>
          <w:szCs w:val="21"/>
        </w:rPr>
      </w:pPr>
      <w:r w:rsidRPr="005F6787">
        <w:rPr>
          <w:szCs w:val="21"/>
        </w:rPr>
        <w:t>舟田</w:t>
      </w:r>
      <w:r w:rsidR="002972CB" w:rsidRPr="005F6787">
        <w:rPr>
          <w:szCs w:val="21"/>
        </w:rPr>
        <w:t>「事業法と独禁法</w:t>
      </w:r>
      <w:r w:rsidR="002972CB" w:rsidRPr="005F6787">
        <w:rPr>
          <w:szCs w:val="21"/>
        </w:rPr>
        <w:t>---- NTT</w:t>
      </w:r>
      <w:r w:rsidR="002972CB" w:rsidRPr="005F6787">
        <w:rPr>
          <w:szCs w:val="21"/>
        </w:rPr>
        <w:t>東日本事件と新潟タクシー事件を素材として」立教法学</w:t>
      </w:r>
      <w:r w:rsidR="002972CB" w:rsidRPr="005F6787">
        <w:rPr>
          <w:szCs w:val="21"/>
        </w:rPr>
        <w:t>96</w:t>
      </w:r>
      <w:r w:rsidR="002972CB" w:rsidRPr="005F6787">
        <w:rPr>
          <w:szCs w:val="21"/>
        </w:rPr>
        <w:t>号</w:t>
      </w:r>
      <w:r w:rsidR="002972CB" w:rsidRPr="005F6787">
        <w:rPr>
          <w:szCs w:val="21"/>
        </w:rPr>
        <w:t>163</w:t>
      </w:r>
      <w:r w:rsidR="002972CB" w:rsidRPr="005F6787">
        <w:rPr>
          <w:szCs w:val="21"/>
        </w:rPr>
        <w:t>頁以下（</w:t>
      </w:r>
      <w:r w:rsidR="002972CB" w:rsidRPr="005F6787">
        <w:rPr>
          <w:szCs w:val="21"/>
        </w:rPr>
        <w:t>2017</w:t>
      </w:r>
      <w:r w:rsidR="002972CB" w:rsidRPr="005F6787">
        <w:rPr>
          <w:szCs w:val="21"/>
        </w:rPr>
        <w:t>）</w:t>
      </w:r>
      <w:r w:rsidR="002972CB" w:rsidRPr="005F6787">
        <w:rPr>
          <w:szCs w:val="21"/>
        </w:rPr>
        <w:t xml:space="preserve"> →</w:t>
      </w:r>
      <w:r w:rsidR="002972CB" w:rsidRPr="005F6787">
        <w:rPr>
          <w:szCs w:val="21"/>
        </w:rPr>
        <w:t xml:space="preserve">　舟田</w:t>
      </w:r>
      <w:r w:rsidR="002972CB" w:rsidRPr="005F6787">
        <w:rPr>
          <w:szCs w:val="21"/>
        </w:rPr>
        <w:t>[2017b]</w:t>
      </w:r>
    </w:p>
    <w:p w14:paraId="43386C59" w14:textId="77777777" w:rsidR="002972CB" w:rsidRPr="005F6787" w:rsidRDefault="001C0F4F" w:rsidP="002972CB">
      <w:pPr>
        <w:autoSpaceDE w:val="0"/>
        <w:autoSpaceDN w:val="0"/>
        <w:adjustRightInd w:val="0"/>
        <w:jc w:val="left"/>
        <w:rPr>
          <w:szCs w:val="21"/>
        </w:rPr>
      </w:pPr>
      <w:r w:rsidRPr="005F6787">
        <w:rPr>
          <w:szCs w:val="21"/>
        </w:rPr>
        <w:t>舟田</w:t>
      </w:r>
      <w:r w:rsidR="002972CB" w:rsidRPr="005F6787">
        <w:rPr>
          <w:szCs w:val="21"/>
        </w:rPr>
        <w:t>「取引開始時における優越的地位の濫用」立教法学</w:t>
      </w:r>
      <w:r w:rsidR="002972CB" w:rsidRPr="005F6787">
        <w:rPr>
          <w:szCs w:val="21"/>
        </w:rPr>
        <w:t>98</w:t>
      </w:r>
      <w:r w:rsidR="002972CB" w:rsidRPr="005F6787">
        <w:rPr>
          <w:szCs w:val="21"/>
        </w:rPr>
        <w:t>号</w:t>
      </w:r>
      <w:r w:rsidR="002972CB" w:rsidRPr="005F6787">
        <w:rPr>
          <w:szCs w:val="21"/>
        </w:rPr>
        <w:t>92</w:t>
      </w:r>
      <w:r w:rsidR="002972CB" w:rsidRPr="005F6787">
        <w:rPr>
          <w:szCs w:val="21"/>
        </w:rPr>
        <w:t>頁以下（</w:t>
      </w:r>
      <w:r w:rsidR="002972CB" w:rsidRPr="005F6787">
        <w:rPr>
          <w:szCs w:val="21"/>
        </w:rPr>
        <w:t>2018</w:t>
      </w:r>
      <w:r w:rsidR="002972CB" w:rsidRPr="005F6787">
        <w:rPr>
          <w:szCs w:val="21"/>
        </w:rPr>
        <w:t>）</w:t>
      </w:r>
      <w:r w:rsidR="002972CB" w:rsidRPr="005F6787">
        <w:rPr>
          <w:szCs w:val="21"/>
        </w:rPr>
        <w:t>→</w:t>
      </w:r>
      <w:r w:rsidR="002972CB" w:rsidRPr="005F6787">
        <w:rPr>
          <w:szCs w:val="21"/>
        </w:rPr>
        <w:t xml:space="preserve">　舟田</w:t>
      </w:r>
      <w:r w:rsidR="002972CB" w:rsidRPr="005F6787">
        <w:rPr>
          <w:szCs w:val="21"/>
        </w:rPr>
        <w:t>[2018]</w:t>
      </w:r>
    </w:p>
    <w:p w14:paraId="66A15970" w14:textId="77777777" w:rsidR="001C0F4F" w:rsidRPr="005F6787" w:rsidRDefault="001C0F4F" w:rsidP="001C0F4F">
      <w:pPr>
        <w:rPr>
          <w:szCs w:val="21"/>
        </w:rPr>
      </w:pPr>
      <w:r w:rsidRPr="005F6787">
        <w:rPr>
          <w:szCs w:val="21"/>
        </w:rPr>
        <w:t>舟田「経済法序説（６・完）」立教法学</w:t>
      </w:r>
      <w:r w:rsidRPr="005F6787">
        <w:rPr>
          <w:szCs w:val="21"/>
        </w:rPr>
        <w:t>101</w:t>
      </w:r>
      <w:r w:rsidRPr="005F6787">
        <w:rPr>
          <w:szCs w:val="21"/>
        </w:rPr>
        <w:t>号</w:t>
      </w:r>
      <w:r w:rsidRPr="005F6787">
        <w:rPr>
          <w:szCs w:val="21"/>
        </w:rPr>
        <w:t>341</w:t>
      </w:r>
      <w:r w:rsidRPr="005F6787">
        <w:rPr>
          <w:szCs w:val="21"/>
        </w:rPr>
        <w:t>頁以下（</w:t>
      </w:r>
      <w:r w:rsidRPr="005F6787">
        <w:rPr>
          <w:szCs w:val="21"/>
        </w:rPr>
        <w:t>2020</w:t>
      </w:r>
      <w:r w:rsidRPr="005F6787">
        <w:rPr>
          <w:szCs w:val="21"/>
        </w:rPr>
        <w:t>）</w:t>
      </w:r>
      <w:r w:rsidRPr="005F6787">
        <w:rPr>
          <w:szCs w:val="21"/>
        </w:rPr>
        <w:t>→</w:t>
      </w:r>
      <w:r w:rsidRPr="005F6787">
        <w:rPr>
          <w:szCs w:val="21"/>
        </w:rPr>
        <w:t xml:space="preserve">　舟田</w:t>
      </w:r>
      <w:r w:rsidRPr="005F6787">
        <w:rPr>
          <w:szCs w:val="21"/>
        </w:rPr>
        <w:t>[2020]</w:t>
      </w:r>
    </w:p>
    <w:p w14:paraId="33DE6EAF" w14:textId="308DC56D" w:rsidR="006745FF" w:rsidRPr="005F6787" w:rsidRDefault="006745FF" w:rsidP="006745FF">
      <w:bookmarkStart w:id="31" w:name="_Hlk58749298"/>
      <w:r w:rsidRPr="005F6787">
        <w:t>ベック、トーマス「欧州・ドイツ競争法におけるプラットフォーム、オンライン取引とデータ」公正取引</w:t>
      </w:r>
      <w:r w:rsidRPr="005F6787">
        <w:t>836</w:t>
      </w:r>
      <w:r w:rsidRPr="005F6787">
        <w:t>号</w:t>
      </w:r>
      <w:r w:rsidRPr="005F6787">
        <w:t>60</w:t>
      </w:r>
      <w:r w:rsidRPr="005F6787">
        <w:t>頁以下（</w:t>
      </w:r>
      <w:r w:rsidRPr="005F6787">
        <w:t>2020</w:t>
      </w:r>
      <w:r w:rsidRPr="005F6787">
        <w:t>）</w:t>
      </w:r>
      <w:r w:rsidRPr="005F6787">
        <w:t>→</w:t>
      </w:r>
      <w:r w:rsidRPr="005F6787">
        <w:t xml:space="preserve">　ベック</w:t>
      </w:r>
      <w:r w:rsidRPr="005F6787">
        <w:t>[2020]</w:t>
      </w:r>
    </w:p>
    <w:bookmarkEnd w:id="31"/>
    <w:p w14:paraId="56F105FD" w14:textId="77777777" w:rsidR="002972CB" w:rsidRPr="005F6787" w:rsidRDefault="002972CB" w:rsidP="002972CB">
      <w:pPr>
        <w:jc w:val="left"/>
        <w:rPr>
          <w:szCs w:val="21"/>
        </w:rPr>
      </w:pPr>
      <w:r w:rsidRPr="005F6787">
        <w:rPr>
          <w:szCs w:val="21"/>
        </w:rPr>
        <w:t>ホラーバハ、アレクサンダー「法哲学から見た、法における自己決定」松本博之＝西谷敏（編）『現代社会と自己決定権』</w:t>
      </w:r>
      <w:r w:rsidRPr="005F6787">
        <w:rPr>
          <w:szCs w:val="21"/>
        </w:rPr>
        <w:t>(</w:t>
      </w:r>
      <w:r w:rsidRPr="005F6787">
        <w:rPr>
          <w:szCs w:val="21"/>
        </w:rPr>
        <w:t>信山社、</w:t>
      </w:r>
      <w:r w:rsidRPr="005F6787">
        <w:rPr>
          <w:szCs w:val="21"/>
        </w:rPr>
        <w:t>1997)48</w:t>
      </w:r>
      <w:r w:rsidRPr="005F6787">
        <w:rPr>
          <w:szCs w:val="21"/>
        </w:rPr>
        <w:t>頁以下</w:t>
      </w:r>
      <w:r w:rsidRPr="005F6787">
        <w:rPr>
          <w:szCs w:val="21"/>
        </w:rPr>
        <w:t>→</w:t>
      </w:r>
      <w:r w:rsidRPr="005F6787">
        <w:rPr>
          <w:szCs w:val="21"/>
        </w:rPr>
        <w:t xml:space="preserve">　ホラーバハ</w:t>
      </w:r>
      <w:r w:rsidRPr="005F6787">
        <w:rPr>
          <w:szCs w:val="21"/>
        </w:rPr>
        <w:t>[1997]</w:t>
      </w:r>
    </w:p>
    <w:p w14:paraId="777F8EC0" w14:textId="77777777" w:rsidR="00004787" w:rsidRPr="005F6787" w:rsidRDefault="00004787" w:rsidP="002972CB">
      <w:pPr>
        <w:jc w:val="left"/>
        <w:rPr>
          <w:szCs w:val="21"/>
        </w:rPr>
      </w:pPr>
      <w:r w:rsidRPr="005F6787">
        <w:rPr>
          <w:szCs w:val="21"/>
        </w:rPr>
        <w:t>堀川信一「暴利行為論における利得者側の主観的要件について</w:t>
      </w:r>
      <w:r w:rsidRPr="005F6787">
        <w:rPr>
          <w:szCs w:val="21"/>
        </w:rPr>
        <w:t>--</w:t>
      </w:r>
      <w:r w:rsidR="00B35B88" w:rsidRPr="005F6787">
        <w:rPr>
          <w:szCs w:val="21"/>
        </w:rPr>
        <w:t>--</w:t>
      </w:r>
      <w:r w:rsidRPr="005F6787">
        <w:rPr>
          <w:szCs w:val="21"/>
        </w:rPr>
        <w:t>ドイツにおける議論を参考に」大東法学</w:t>
      </w:r>
      <w:r w:rsidRPr="005F6787">
        <w:rPr>
          <w:szCs w:val="21"/>
        </w:rPr>
        <w:t>19</w:t>
      </w:r>
      <w:r w:rsidRPr="005F6787">
        <w:rPr>
          <w:szCs w:val="21"/>
        </w:rPr>
        <w:t>巻</w:t>
      </w:r>
      <w:r w:rsidRPr="005F6787">
        <w:rPr>
          <w:szCs w:val="21"/>
        </w:rPr>
        <w:t>1</w:t>
      </w:r>
      <w:r w:rsidRPr="005F6787">
        <w:rPr>
          <w:szCs w:val="21"/>
        </w:rPr>
        <w:t>号</w:t>
      </w:r>
      <w:r w:rsidRPr="005F6787">
        <w:rPr>
          <w:szCs w:val="21"/>
        </w:rPr>
        <w:t>307</w:t>
      </w:r>
      <w:r w:rsidRPr="005F6787">
        <w:rPr>
          <w:szCs w:val="21"/>
        </w:rPr>
        <w:t>頁以下（</w:t>
      </w:r>
      <w:r w:rsidRPr="005F6787">
        <w:rPr>
          <w:szCs w:val="21"/>
        </w:rPr>
        <w:t>2009</w:t>
      </w:r>
      <w:r w:rsidRPr="005F6787">
        <w:rPr>
          <w:szCs w:val="21"/>
        </w:rPr>
        <w:t>）</w:t>
      </w:r>
      <w:r w:rsidRPr="005F6787">
        <w:rPr>
          <w:szCs w:val="21"/>
        </w:rPr>
        <w:t>→</w:t>
      </w:r>
      <w:r w:rsidRPr="005F6787">
        <w:rPr>
          <w:szCs w:val="21"/>
        </w:rPr>
        <w:t xml:space="preserve">　堀川信一</w:t>
      </w:r>
      <w:r w:rsidRPr="005F6787">
        <w:rPr>
          <w:szCs w:val="21"/>
        </w:rPr>
        <w:t>[2009]</w:t>
      </w:r>
    </w:p>
    <w:p w14:paraId="739465C4"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t>ま</w:t>
      </w:r>
    </w:p>
    <w:p w14:paraId="1F110086" w14:textId="23AC5C5B" w:rsidR="007F04EC" w:rsidRPr="005F6787" w:rsidRDefault="007F04EC" w:rsidP="007F04EC">
      <w:pPr>
        <w:rPr>
          <w:szCs w:val="21"/>
        </w:rPr>
      </w:pPr>
      <w:r w:rsidRPr="005F6787">
        <w:rPr>
          <w:szCs w:val="21"/>
        </w:rPr>
        <w:t>松原光宏</w:t>
      </w:r>
      <w:r w:rsidRPr="005F6787">
        <w:rPr>
          <w:szCs w:val="21"/>
          <w:shd w:val="clear" w:color="auto" w:fill="FFFFFF"/>
        </w:rPr>
        <w:t>「私人間効力論再考</w:t>
      </w:r>
      <w:r w:rsidRPr="005F6787">
        <w:rPr>
          <w:szCs w:val="21"/>
        </w:rPr>
        <w:t>（一）（二・完）</w:t>
      </w:r>
      <w:r w:rsidRPr="005F6787">
        <w:rPr>
          <w:szCs w:val="21"/>
          <w:shd w:val="clear" w:color="auto" w:fill="FFFFFF"/>
        </w:rPr>
        <w:t>」</w:t>
      </w:r>
      <w:r w:rsidRPr="005F6787">
        <w:rPr>
          <w:szCs w:val="21"/>
        </w:rPr>
        <w:t>法学新報</w:t>
      </w:r>
      <w:r w:rsidRPr="005F6787">
        <w:rPr>
          <w:szCs w:val="21"/>
        </w:rPr>
        <w:t>106</w:t>
      </w:r>
      <w:r w:rsidRPr="005F6787">
        <w:rPr>
          <w:szCs w:val="21"/>
        </w:rPr>
        <w:t>巻</w:t>
      </w:r>
      <w:r w:rsidRPr="005F6787">
        <w:rPr>
          <w:szCs w:val="21"/>
        </w:rPr>
        <w:t>3</w:t>
      </w:r>
      <w:r w:rsidRPr="005F6787">
        <w:rPr>
          <w:szCs w:val="21"/>
        </w:rPr>
        <w:t>・</w:t>
      </w:r>
      <w:r w:rsidRPr="005F6787">
        <w:rPr>
          <w:szCs w:val="21"/>
        </w:rPr>
        <w:t>4</w:t>
      </w:r>
      <w:r w:rsidRPr="005F6787">
        <w:rPr>
          <w:szCs w:val="21"/>
        </w:rPr>
        <w:t>号</w:t>
      </w:r>
      <w:r w:rsidRPr="005F6787">
        <w:rPr>
          <w:szCs w:val="21"/>
        </w:rPr>
        <w:t>1</w:t>
      </w:r>
      <w:r w:rsidRPr="005F6787">
        <w:rPr>
          <w:szCs w:val="21"/>
        </w:rPr>
        <w:t>頁以下（</w:t>
      </w:r>
      <w:r w:rsidRPr="005F6787">
        <w:rPr>
          <w:szCs w:val="21"/>
        </w:rPr>
        <w:t>2001</w:t>
      </w:r>
      <w:r w:rsidRPr="005F6787">
        <w:rPr>
          <w:szCs w:val="21"/>
        </w:rPr>
        <w:t>）、</w:t>
      </w:r>
      <w:r w:rsidRPr="005F6787">
        <w:rPr>
          <w:szCs w:val="21"/>
        </w:rPr>
        <w:t>109</w:t>
      </w:r>
      <w:r w:rsidRPr="005F6787">
        <w:rPr>
          <w:szCs w:val="21"/>
        </w:rPr>
        <w:t>巻</w:t>
      </w:r>
      <w:r w:rsidRPr="005F6787">
        <w:rPr>
          <w:szCs w:val="21"/>
        </w:rPr>
        <w:t>7</w:t>
      </w:r>
      <w:r w:rsidRPr="005F6787">
        <w:rPr>
          <w:szCs w:val="21"/>
        </w:rPr>
        <w:t>・</w:t>
      </w:r>
      <w:r w:rsidRPr="005F6787">
        <w:rPr>
          <w:szCs w:val="21"/>
        </w:rPr>
        <w:t>8</w:t>
      </w:r>
      <w:r w:rsidRPr="005F6787">
        <w:rPr>
          <w:szCs w:val="21"/>
        </w:rPr>
        <w:t>号</w:t>
      </w:r>
      <w:r w:rsidRPr="005F6787">
        <w:rPr>
          <w:szCs w:val="21"/>
        </w:rPr>
        <w:t>75</w:t>
      </w:r>
      <w:r w:rsidRPr="005F6787">
        <w:rPr>
          <w:szCs w:val="21"/>
        </w:rPr>
        <w:t>頁以下</w:t>
      </w:r>
      <w:r w:rsidRPr="005F6787">
        <w:rPr>
          <w:szCs w:val="21"/>
        </w:rPr>
        <w:t>(2003</w:t>
      </w:r>
      <w:r w:rsidRPr="005F6787">
        <w:rPr>
          <w:szCs w:val="21"/>
        </w:rPr>
        <w:t>年</w:t>
      </w:r>
      <w:r w:rsidRPr="005F6787">
        <w:rPr>
          <w:szCs w:val="21"/>
        </w:rPr>
        <w:t>)</w:t>
      </w:r>
      <w:r w:rsidRPr="005F6787">
        <w:rPr>
          <w:rStyle w:val="st1"/>
          <w:szCs w:val="21"/>
        </w:rPr>
        <w:t xml:space="preserve"> </w:t>
      </w:r>
      <w:r w:rsidRPr="005F6787">
        <w:rPr>
          <w:szCs w:val="21"/>
        </w:rPr>
        <w:t>→</w:t>
      </w:r>
      <w:r w:rsidRPr="005F6787">
        <w:rPr>
          <w:szCs w:val="21"/>
        </w:rPr>
        <w:t xml:space="preserve">　松原光宏</w:t>
      </w:r>
      <w:r w:rsidRPr="005F6787">
        <w:rPr>
          <w:szCs w:val="21"/>
        </w:rPr>
        <w:t>[2001-03]</w:t>
      </w:r>
      <w:r w:rsidRPr="005F6787">
        <w:rPr>
          <w:szCs w:val="21"/>
        </w:rPr>
        <w:t xml:space="preserve">　</w:t>
      </w:r>
    </w:p>
    <w:p w14:paraId="4394297C" w14:textId="77777777" w:rsidR="00A51020" w:rsidRPr="005F6787" w:rsidRDefault="00A51020" w:rsidP="00A51020">
      <w:pPr>
        <w:rPr>
          <w:rFonts w:eastAsia="ＭＳ 明朝"/>
        </w:rPr>
      </w:pPr>
      <w:bookmarkStart w:id="32" w:name="_Hlk58749314"/>
      <w:r w:rsidRPr="005F6787">
        <w:rPr>
          <w:rFonts w:eastAsia="ＭＳ 明朝"/>
        </w:rPr>
        <w:t>松本和彦『基本権保障の憲法理論』（大阪大学出版会、</w:t>
      </w:r>
      <w:r w:rsidRPr="005F6787">
        <w:rPr>
          <w:rFonts w:eastAsia="ＭＳ 明朝"/>
        </w:rPr>
        <w:t>2001</w:t>
      </w:r>
      <w:r w:rsidRPr="005F6787">
        <w:rPr>
          <w:rFonts w:eastAsia="ＭＳ 明朝"/>
        </w:rPr>
        <w:t>）</w:t>
      </w:r>
      <w:r w:rsidRPr="005F6787">
        <w:rPr>
          <w:rFonts w:eastAsia="ＭＳ 明朝"/>
        </w:rPr>
        <w:t>→</w:t>
      </w:r>
      <w:r w:rsidRPr="005F6787">
        <w:rPr>
          <w:rFonts w:eastAsia="ＭＳ 明朝"/>
        </w:rPr>
        <w:t xml:space="preserve">　松本和彦</w:t>
      </w:r>
      <w:r w:rsidRPr="005F6787">
        <w:rPr>
          <w:rFonts w:eastAsia="ＭＳ 明朝"/>
        </w:rPr>
        <w:t>[2001]</w:t>
      </w:r>
    </w:p>
    <w:bookmarkEnd w:id="32"/>
    <w:p w14:paraId="6A4DD2F1" w14:textId="77777777" w:rsidR="002972CB" w:rsidRPr="005F6787" w:rsidRDefault="002972CB" w:rsidP="002972CB">
      <w:pPr>
        <w:jc w:val="left"/>
        <w:rPr>
          <w:szCs w:val="21"/>
        </w:rPr>
      </w:pPr>
      <w:r w:rsidRPr="005F6787">
        <w:rPr>
          <w:szCs w:val="21"/>
        </w:rPr>
        <w:t>丸山絵美子「契約の内容規制の局面における消費者法規範の保護利益と消費者利益の実現手段」千葉恵美子＝長谷部由起子＝鈴木将文</w:t>
      </w:r>
      <w:r w:rsidRPr="005F6787">
        <w:rPr>
          <w:szCs w:val="21"/>
        </w:rPr>
        <w:t>(</w:t>
      </w:r>
      <w:r w:rsidRPr="005F6787">
        <w:rPr>
          <w:szCs w:val="21"/>
        </w:rPr>
        <w:t>編著</w:t>
      </w:r>
      <w:r w:rsidRPr="005F6787">
        <w:rPr>
          <w:szCs w:val="21"/>
        </w:rPr>
        <w:t>)</w:t>
      </w:r>
      <w:r w:rsidRPr="005F6787">
        <w:rPr>
          <w:szCs w:val="21"/>
        </w:rPr>
        <w:t>『集団的消費者利益の実現と法の役割』（商事法務、</w:t>
      </w:r>
      <w:r w:rsidRPr="005F6787">
        <w:rPr>
          <w:szCs w:val="21"/>
        </w:rPr>
        <w:t>2014</w:t>
      </w:r>
      <w:r w:rsidRPr="005F6787">
        <w:rPr>
          <w:szCs w:val="21"/>
        </w:rPr>
        <w:t>）７</w:t>
      </w:r>
      <w:r w:rsidRPr="005F6787">
        <w:rPr>
          <w:szCs w:val="21"/>
        </w:rPr>
        <w:t>6</w:t>
      </w:r>
      <w:r w:rsidRPr="005F6787">
        <w:rPr>
          <w:szCs w:val="21"/>
        </w:rPr>
        <w:t>頁以下</w:t>
      </w:r>
      <w:r w:rsidRPr="005F6787">
        <w:rPr>
          <w:szCs w:val="21"/>
        </w:rPr>
        <w:t>→</w:t>
      </w:r>
      <w:r w:rsidRPr="005F6787">
        <w:rPr>
          <w:szCs w:val="21"/>
        </w:rPr>
        <w:t xml:space="preserve">　丸山絵美子</w:t>
      </w:r>
      <w:r w:rsidRPr="005F6787">
        <w:rPr>
          <w:szCs w:val="21"/>
        </w:rPr>
        <w:t>[2014]</w:t>
      </w:r>
    </w:p>
    <w:p w14:paraId="46A26595" w14:textId="77777777" w:rsidR="002972CB" w:rsidRPr="005F6787" w:rsidRDefault="002972CB" w:rsidP="002972CB">
      <w:pPr>
        <w:jc w:val="left"/>
        <w:rPr>
          <w:rFonts w:cs="Arial"/>
          <w:szCs w:val="21"/>
        </w:rPr>
      </w:pPr>
      <w:r w:rsidRPr="005F6787">
        <w:rPr>
          <w:rFonts w:cs="Arial"/>
          <w:szCs w:val="21"/>
        </w:rPr>
        <w:t>丸山絵美子『中途解約と契約の内容規制』（有斐閣、</w:t>
      </w:r>
      <w:r w:rsidRPr="005F6787">
        <w:rPr>
          <w:rFonts w:cs="Arial"/>
          <w:szCs w:val="21"/>
        </w:rPr>
        <w:t>2015</w:t>
      </w:r>
      <w:r w:rsidRPr="005F6787">
        <w:rPr>
          <w:rFonts w:cs="Arial"/>
          <w:szCs w:val="21"/>
        </w:rPr>
        <w:t>）</w:t>
      </w:r>
      <w:r w:rsidRPr="005F6787">
        <w:rPr>
          <w:rFonts w:cs="Arial"/>
          <w:szCs w:val="21"/>
        </w:rPr>
        <w:t>→</w:t>
      </w:r>
      <w:r w:rsidRPr="005F6787">
        <w:rPr>
          <w:rFonts w:cs="Arial"/>
          <w:szCs w:val="21"/>
        </w:rPr>
        <w:t xml:space="preserve">　丸山絵美子</w:t>
      </w:r>
      <w:r w:rsidRPr="005F6787">
        <w:rPr>
          <w:rFonts w:cs="Arial"/>
          <w:szCs w:val="21"/>
        </w:rPr>
        <w:t>[2015]</w:t>
      </w:r>
    </w:p>
    <w:p w14:paraId="5F1FCC89" w14:textId="77777777" w:rsidR="002972CB" w:rsidRPr="005F6787" w:rsidRDefault="002972CB" w:rsidP="002972CB">
      <w:pPr>
        <w:pStyle w:val="2"/>
        <w:rPr>
          <w:rFonts w:asciiTheme="minorHAnsi" w:eastAsiaTheme="minorEastAsia" w:hAnsiTheme="minorHAnsi"/>
          <w:szCs w:val="21"/>
        </w:rPr>
      </w:pPr>
      <w:r w:rsidRPr="005F6787">
        <w:rPr>
          <w:rFonts w:asciiTheme="minorHAnsi" w:eastAsiaTheme="minorEastAsia" w:hAnsiTheme="minorHAnsi"/>
          <w:szCs w:val="21"/>
        </w:rPr>
        <w:lastRenderedPageBreak/>
        <w:t>や</w:t>
      </w:r>
    </w:p>
    <w:p w14:paraId="030E4087" w14:textId="77777777" w:rsidR="00A51020" w:rsidRPr="005F6787" w:rsidRDefault="00A51020" w:rsidP="00A51020">
      <w:pPr>
        <w:rPr>
          <w:rFonts w:eastAsia="ＭＳ 明朝"/>
        </w:rPr>
      </w:pPr>
      <w:bookmarkStart w:id="33" w:name="_Hlk58749324"/>
      <w:r w:rsidRPr="005F6787">
        <w:rPr>
          <w:rFonts w:eastAsia="ＭＳ 明朝"/>
        </w:rPr>
        <w:t>山田哲史「『権利ドグマーティク』の可能性：基本権侵害を理由とする法律による規律の要求の意義と限界」岡山大学法学会雑誌</w:t>
      </w:r>
      <w:r w:rsidRPr="005F6787">
        <w:rPr>
          <w:rFonts w:eastAsia="ＭＳ 明朝"/>
        </w:rPr>
        <w:t>68</w:t>
      </w:r>
      <w:r w:rsidRPr="005F6787">
        <w:rPr>
          <w:rFonts w:eastAsia="ＭＳ 明朝"/>
        </w:rPr>
        <w:t>巻３・４号</w:t>
      </w:r>
      <w:r w:rsidRPr="005F6787">
        <w:rPr>
          <w:rFonts w:eastAsia="ＭＳ 明朝"/>
        </w:rPr>
        <w:t>740</w:t>
      </w:r>
      <w:r w:rsidRPr="005F6787">
        <w:rPr>
          <w:rFonts w:eastAsia="ＭＳ 明朝"/>
        </w:rPr>
        <w:t>頁以下（</w:t>
      </w:r>
      <w:r w:rsidRPr="005F6787">
        <w:rPr>
          <w:rFonts w:eastAsia="ＭＳ 明朝"/>
        </w:rPr>
        <w:t>2019</w:t>
      </w:r>
      <w:r w:rsidRPr="005F6787">
        <w:rPr>
          <w:rFonts w:eastAsia="ＭＳ 明朝"/>
        </w:rPr>
        <w:t>）</w:t>
      </w:r>
      <w:r w:rsidRPr="005F6787">
        <w:rPr>
          <w:rFonts w:eastAsia="ＭＳ 明朝"/>
        </w:rPr>
        <w:t>→</w:t>
      </w:r>
      <w:r w:rsidRPr="005F6787">
        <w:rPr>
          <w:rFonts w:eastAsia="ＭＳ 明朝"/>
        </w:rPr>
        <w:t xml:space="preserve">　</w:t>
      </w:r>
      <w:bookmarkStart w:id="34" w:name="_Hlk56544553"/>
      <w:r w:rsidRPr="005F6787">
        <w:rPr>
          <w:rFonts w:eastAsia="ＭＳ 明朝"/>
        </w:rPr>
        <w:t>山田哲史</w:t>
      </w:r>
      <w:r w:rsidRPr="005F6787">
        <w:rPr>
          <w:rFonts w:eastAsia="ＭＳ 明朝"/>
        </w:rPr>
        <w:t>[2019]</w:t>
      </w:r>
      <w:bookmarkEnd w:id="34"/>
    </w:p>
    <w:bookmarkEnd w:id="33"/>
    <w:p w14:paraId="61F68194" w14:textId="77777777" w:rsidR="002972CB" w:rsidRPr="005F6787" w:rsidRDefault="002972CB" w:rsidP="002972CB">
      <w:pPr>
        <w:rPr>
          <w:szCs w:val="21"/>
        </w:rPr>
      </w:pPr>
      <w:r w:rsidRPr="005F6787">
        <w:rPr>
          <w:szCs w:val="21"/>
        </w:rPr>
        <w:t>山本敬三『公序良俗論の再構成』（有斐閣、</w:t>
      </w:r>
      <w:r w:rsidRPr="005F6787">
        <w:rPr>
          <w:szCs w:val="21"/>
        </w:rPr>
        <w:t>2000</w:t>
      </w:r>
      <w:r w:rsidRPr="005F6787">
        <w:rPr>
          <w:szCs w:val="21"/>
        </w:rPr>
        <w:t>年）</w:t>
      </w:r>
      <w:r w:rsidRPr="005F6787">
        <w:rPr>
          <w:szCs w:val="21"/>
        </w:rPr>
        <w:t>→</w:t>
      </w:r>
      <w:r w:rsidRPr="005F6787">
        <w:rPr>
          <w:szCs w:val="21"/>
        </w:rPr>
        <w:t xml:space="preserve">　山本敬三</w:t>
      </w:r>
      <w:r w:rsidRPr="005F6787">
        <w:rPr>
          <w:szCs w:val="21"/>
        </w:rPr>
        <w:t>[2000]</w:t>
      </w:r>
    </w:p>
    <w:p w14:paraId="48D5F47D" w14:textId="77777777" w:rsidR="002972CB" w:rsidRPr="005F6787" w:rsidRDefault="002972CB" w:rsidP="002972CB">
      <w:pPr>
        <w:jc w:val="left"/>
        <w:rPr>
          <w:szCs w:val="21"/>
        </w:rPr>
      </w:pPr>
      <w:r w:rsidRPr="005F6787">
        <w:rPr>
          <w:szCs w:val="21"/>
        </w:rPr>
        <w:t>山本豊『不当条項規制と自己責任・契約正義』（有斐閣、</w:t>
      </w:r>
      <w:r w:rsidRPr="005F6787">
        <w:rPr>
          <w:szCs w:val="21"/>
        </w:rPr>
        <w:t>1997</w:t>
      </w:r>
      <w:r w:rsidRPr="005F6787">
        <w:rPr>
          <w:szCs w:val="21"/>
        </w:rPr>
        <w:t>）</w:t>
      </w:r>
      <w:r w:rsidRPr="005F6787">
        <w:rPr>
          <w:szCs w:val="21"/>
        </w:rPr>
        <w:t>→</w:t>
      </w:r>
      <w:r w:rsidRPr="005F6787">
        <w:rPr>
          <w:szCs w:val="21"/>
        </w:rPr>
        <w:t xml:space="preserve">　山本豊</w:t>
      </w:r>
      <w:r w:rsidRPr="005F6787">
        <w:rPr>
          <w:szCs w:val="21"/>
        </w:rPr>
        <w:t>[1997]</w:t>
      </w:r>
    </w:p>
    <w:p w14:paraId="53114490" w14:textId="77777777" w:rsidR="002972CB" w:rsidRPr="005F6787" w:rsidRDefault="002972CB" w:rsidP="002972CB">
      <w:pPr>
        <w:widowControl/>
        <w:shd w:val="clear" w:color="auto" w:fill="FFFFFF"/>
        <w:jc w:val="left"/>
        <w:rPr>
          <w:szCs w:val="21"/>
        </w:rPr>
      </w:pPr>
      <w:r w:rsidRPr="005F6787">
        <w:rPr>
          <w:szCs w:val="21"/>
        </w:rPr>
        <w:t>山本豊「契約の内容規制」『債権法改正の課題と方向</w:t>
      </w:r>
      <w:r w:rsidRPr="005F6787">
        <w:rPr>
          <w:szCs w:val="21"/>
        </w:rPr>
        <w:t>----</w:t>
      </w:r>
      <w:r w:rsidRPr="005F6787">
        <w:rPr>
          <w:szCs w:val="21"/>
        </w:rPr>
        <w:t>民法</w:t>
      </w:r>
      <w:r w:rsidRPr="005F6787">
        <w:rPr>
          <w:szCs w:val="21"/>
        </w:rPr>
        <w:t xml:space="preserve"> 100 </w:t>
      </w:r>
      <w:r w:rsidRPr="005F6787">
        <w:rPr>
          <w:szCs w:val="21"/>
        </w:rPr>
        <w:t>周年を契機として』別冊</w:t>
      </w:r>
      <w:r w:rsidRPr="005F6787">
        <w:rPr>
          <w:szCs w:val="21"/>
        </w:rPr>
        <w:t xml:space="preserve">NBL51 </w:t>
      </w:r>
      <w:r w:rsidRPr="005F6787">
        <w:rPr>
          <w:szCs w:val="21"/>
        </w:rPr>
        <w:t>号</w:t>
      </w:r>
      <w:r w:rsidRPr="005F6787">
        <w:rPr>
          <w:szCs w:val="21"/>
        </w:rPr>
        <w:t xml:space="preserve"> (1998 </w:t>
      </w:r>
      <w:r w:rsidRPr="005F6787">
        <w:rPr>
          <w:szCs w:val="21"/>
        </w:rPr>
        <w:t>年）</w:t>
      </w:r>
      <w:r w:rsidRPr="005F6787">
        <w:rPr>
          <w:szCs w:val="21"/>
        </w:rPr>
        <w:t xml:space="preserve">57 </w:t>
      </w:r>
      <w:r w:rsidRPr="005F6787">
        <w:rPr>
          <w:szCs w:val="21"/>
        </w:rPr>
        <w:t>頁以下</w:t>
      </w:r>
      <w:r w:rsidR="00B35B88" w:rsidRPr="005F6787">
        <w:rPr>
          <w:szCs w:val="21"/>
        </w:rPr>
        <w:t xml:space="preserve">　</w:t>
      </w:r>
      <w:r w:rsidRPr="005F6787">
        <w:rPr>
          <w:szCs w:val="21"/>
        </w:rPr>
        <w:t>→</w:t>
      </w:r>
      <w:r w:rsidRPr="005F6787">
        <w:rPr>
          <w:szCs w:val="21"/>
        </w:rPr>
        <w:t xml:space="preserve">　山本豊</w:t>
      </w:r>
      <w:r w:rsidRPr="005F6787">
        <w:rPr>
          <w:szCs w:val="21"/>
        </w:rPr>
        <w:t>[1998]</w:t>
      </w:r>
    </w:p>
    <w:p w14:paraId="58802A64" w14:textId="77777777" w:rsidR="00F9717A" w:rsidRPr="005F6787" w:rsidRDefault="00F9717A" w:rsidP="00F9717A">
      <w:pPr>
        <w:rPr>
          <w:szCs w:val="21"/>
        </w:rPr>
      </w:pPr>
      <w:r w:rsidRPr="005F6787">
        <w:rPr>
          <w:szCs w:val="21"/>
        </w:rPr>
        <w:t>山本豊「付随的契約条件における自律と正義</w:t>
      </w:r>
      <w:r w:rsidRPr="005F6787">
        <w:rPr>
          <w:szCs w:val="21"/>
        </w:rPr>
        <w:t>(1)</w:t>
      </w:r>
      <w:r w:rsidRPr="005F6787">
        <w:rPr>
          <w:szCs w:val="21"/>
        </w:rPr>
        <w:t>・（</w:t>
      </w:r>
      <w:r w:rsidRPr="005F6787">
        <w:rPr>
          <w:szCs w:val="21"/>
        </w:rPr>
        <w:t>2</w:t>
      </w:r>
      <w:r w:rsidRPr="005F6787">
        <w:rPr>
          <w:szCs w:val="21"/>
        </w:rPr>
        <w:t>）」法学</w:t>
      </w:r>
      <w:r w:rsidRPr="005F6787">
        <w:rPr>
          <w:szCs w:val="21"/>
        </w:rPr>
        <w:t>44</w:t>
      </w:r>
      <w:r w:rsidRPr="005F6787">
        <w:rPr>
          <w:szCs w:val="21"/>
        </w:rPr>
        <w:t>巻</w:t>
      </w:r>
      <w:r w:rsidRPr="005F6787">
        <w:rPr>
          <w:szCs w:val="21"/>
        </w:rPr>
        <w:t>3</w:t>
      </w:r>
      <w:r w:rsidRPr="005F6787">
        <w:rPr>
          <w:szCs w:val="21"/>
        </w:rPr>
        <w:t>号</w:t>
      </w:r>
      <w:r w:rsidRPr="005F6787">
        <w:rPr>
          <w:szCs w:val="21"/>
        </w:rPr>
        <w:t>380</w:t>
      </w:r>
      <w:r w:rsidRPr="005F6787">
        <w:rPr>
          <w:szCs w:val="21"/>
        </w:rPr>
        <w:t>頁以下、同</w:t>
      </w:r>
      <w:r w:rsidRPr="005F6787">
        <w:rPr>
          <w:szCs w:val="21"/>
        </w:rPr>
        <w:t>4</w:t>
      </w:r>
      <w:r w:rsidRPr="005F6787">
        <w:rPr>
          <w:szCs w:val="21"/>
        </w:rPr>
        <w:t>号</w:t>
      </w:r>
      <w:r w:rsidRPr="005F6787">
        <w:rPr>
          <w:szCs w:val="21"/>
        </w:rPr>
        <w:t>506</w:t>
      </w:r>
      <w:r w:rsidRPr="005F6787">
        <w:rPr>
          <w:szCs w:val="21"/>
        </w:rPr>
        <w:t>頁以下</w:t>
      </w:r>
      <w:r w:rsidRPr="005F6787">
        <w:rPr>
          <w:szCs w:val="21"/>
        </w:rPr>
        <w:t>(1980)</w:t>
      </w:r>
      <w:r w:rsidRPr="005F6787">
        <w:rPr>
          <w:szCs w:val="21"/>
        </w:rPr>
        <w:t xml:space="preserve">　</w:t>
      </w:r>
    </w:p>
    <w:p w14:paraId="47E7359D" w14:textId="77777777" w:rsidR="002972CB" w:rsidRPr="005F6787" w:rsidRDefault="002972CB" w:rsidP="002972CB">
      <w:pPr>
        <w:widowControl/>
        <w:shd w:val="clear" w:color="auto" w:fill="FFFFFF"/>
        <w:jc w:val="left"/>
        <w:rPr>
          <w:rFonts w:cs="Arial"/>
          <w:kern w:val="0"/>
          <w:szCs w:val="21"/>
        </w:rPr>
      </w:pPr>
      <w:r w:rsidRPr="005F6787">
        <w:rPr>
          <w:rFonts w:cs="Arial"/>
          <w:kern w:val="0"/>
          <w:szCs w:val="21"/>
        </w:rPr>
        <w:t>吉村良一「『自己決定権』論の現代的意義・覚書」立命館法学</w:t>
      </w:r>
      <w:r w:rsidRPr="005F6787">
        <w:rPr>
          <w:rFonts w:cs="Arial"/>
          <w:kern w:val="0"/>
          <w:szCs w:val="21"/>
        </w:rPr>
        <w:t>260</w:t>
      </w:r>
      <w:r w:rsidRPr="005F6787">
        <w:rPr>
          <w:rFonts w:cs="Arial"/>
          <w:kern w:val="0"/>
          <w:szCs w:val="21"/>
        </w:rPr>
        <w:t>号</w:t>
      </w:r>
      <w:r w:rsidRPr="005F6787">
        <w:rPr>
          <w:rFonts w:cs="Arial"/>
          <w:kern w:val="0"/>
          <w:szCs w:val="21"/>
        </w:rPr>
        <w:t>119</w:t>
      </w:r>
      <w:r w:rsidRPr="005F6787">
        <w:rPr>
          <w:rFonts w:cs="Arial"/>
          <w:kern w:val="0"/>
          <w:szCs w:val="21"/>
        </w:rPr>
        <w:t>頁</w:t>
      </w:r>
      <w:r w:rsidRPr="005F6787">
        <w:rPr>
          <w:rFonts w:cs="Arial"/>
          <w:kern w:val="0"/>
          <w:szCs w:val="21"/>
        </w:rPr>
        <w:t>(1998</w:t>
      </w:r>
      <w:r w:rsidRPr="005F6787">
        <w:rPr>
          <w:rFonts w:cs="Arial"/>
          <w:kern w:val="0"/>
          <w:szCs w:val="21"/>
        </w:rPr>
        <w:t>）</w:t>
      </w:r>
      <w:r w:rsidRPr="005F6787">
        <w:rPr>
          <w:rFonts w:cs="Arial"/>
          <w:kern w:val="0"/>
          <w:szCs w:val="21"/>
        </w:rPr>
        <w:t>→</w:t>
      </w:r>
      <w:r w:rsidR="00B35B88" w:rsidRPr="005F6787">
        <w:rPr>
          <w:rFonts w:cs="Arial"/>
          <w:kern w:val="0"/>
          <w:szCs w:val="21"/>
        </w:rPr>
        <w:t xml:space="preserve">　</w:t>
      </w:r>
      <w:r w:rsidRPr="005F6787">
        <w:rPr>
          <w:rFonts w:cs="Arial"/>
          <w:kern w:val="0"/>
          <w:szCs w:val="21"/>
        </w:rPr>
        <w:t>吉村良一</w:t>
      </w:r>
      <w:r w:rsidRPr="005F6787">
        <w:rPr>
          <w:rFonts w:cs="Arial"/>
          <w:kern w:val="0"/>
          <w:szCs w:val="21"/>
        </w:rPr>
        <w:t>[1998]</w:t>
      </w:r>
    </w:p>
    <w:p w14:paraId="0C00A879" w14:textId="77777777" w:rsidR="002972CB" w:rsidRPr="005F6787" w:rsidRDefault="002972CB" w:rsidP="002972CB">
      <w:pPr>
        <w:rPr>
          <w:szCs w:val="21"/>
        </w:rPr>
      </w:pPr>
      <w:r w:rsidRPr="005F6787">
        <w:rPr>
          <w:szCs w:val="21"/>
        </w:rPr>
        <w:t>渡辺康行「憲法学における『ルール』と『原理』区分論の意義</w:t>
      </w:r>
      <w:r w:rsidRPr="005F6787">
        <w:rPr>
          <w:szCs w:val="21"/>
        </w:rPr>
        <w:t>―</w:t>
      </w:r>
      <w:r w:rsidRPr="005F6787">
        <w:rPr>
          <w:szCs w:val="21"/>
        </w:rPr>
        <w:t>Ｒ・アレクシーをめぐる論争を素材としてー」樋口陽一ほか（編）『栗城壽夫先生古稀記念・日独憲法学の創造力</w:t>
      </w:r>
      <w:r w:rsidRPr="005F6787">
        <w:rPr>
          <w:szCs w:val="21"/>
        </w:rPr>
        <w:t>(</w:t>
      </w:r>
      <w:r w:rsidRPr="005F6787">
        <w:rPr>
          <w:szCs w:val="21"/>
        </w:rPr>
        <w:t>上巻</w:t>
      </w:r>
      <w:r w:rsidRPr="005F6787">
        <w:rPr>
          <w:szCs w:val="21"/>
        </w:rPr>
        <w:t>)</w:t>
      </w:r>
      <w:r w:rsidRPr="005F6787">
        <w:rPr>
          <w:szCs w:val="21"/>
        </w:rPr>
        <w:t>』（信山社、</w:t>
      </w:r>
      <w:r w:rsidRPr="005F6787">
        <w:rPr>
          <w:szCs w:val="21"/>
        </w:rPr>
        <w:t>2003</w:t>
      </w:r>
      <w:r w:rsidRPr="005F6787">
        <w:rPr>
          <w:szCs w:val="21"/>
        </w:rPr>
        <w:t>年）</w:t>
      </w:r>
      <w:r w:rsidRPr="005F6787">
        <w:rPr>
          <w:szCs w:val="21"/>
        </w:rPr>
        <w:t>1</w:t>
      </w:r>
      <w:r w:rsidRPr="005F6787">
        <w:rPr>
          <w:szCs w:val="21"/>
        </w:rPr>
        <w:t>頁以下</w:t>
      </w:r>
      <w:r w:rsidRPr="005F6787">
        <w:rPr>
          <w:szCs w:val="21"/>
        </w:rPr>
        <w:t xml:space="preserve"> →</w:t>
      </w:r>
      <w:r w:rsidRPr="005F6787">
        <w:rPr>
          <w:szCs w:val="21"/>
        </w:rPr>
        <w:t xml:space="preserve">　渡辺康行</w:t>
      </w:r>
      <w:r w:rsidR="00FD34D4" w:rsidRPr="005F6787">
        <w:rPr>
          <w:szCs w:val="21"/>
        </w:rPr>
        <w:t xml:space="preserve">[2003] </w:t>
      </w:r>
    </w:p>
    <w:sectPr w:rsidR="002972CB" w:rsidRPr="005F6787">
      <w:footerReference w:type="default" r:id="rId17"/>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589D1" w14:textId="77777777" w:rsidR="003E7FA0" w:rsidRDefault="003E7FA0" w:rsidP="00C341EB">
      <w:r>
        <w:separator/>
      </w:r>
    </w:p>
  </w:endnote>
  <w:endnote w:type="continuationSeparator" w:id="0">
    <w:p w14:paraId="0E63E157" w14:textId="77777777" w:rsidR="003E7FA0" w:rsidRDefault="003E7FA0" w:rsidP="00C3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Pr6-Light">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MT">
    <w:altName w:val="BIZ UDPゴシック"/>
    <w:panose1 w:val="00000000000000000000"/>
    <w:charset w:val="80"/>
    <w:family w:val="auto"/>
    <w:notTrueType/>
    <w:pitch w:val="default"/>
    <w:sig w:usb0="00000001" w:usb1="08070000" w:usb2="00000010" w:usb3="00000000" w:csb0="00020000" w:csb1="00000000"/>
  </w:font>
  <w:font w:name="ＭＳ明朝">
    <w:altName w:val="CPPコーパス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seikosha-OTF">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6127"/>
      <w:docPartObj>
        <w:docPartGallery w:val="Page Numbers (Bottom of Page)"/>
        <w:docPartUnique/>
      </w:docPartObj>
    </w:sdtPr>
    <w:sdtEndPr/>
    <w:sdtContent>
      <w:p w14:paraId="7AB8A8E2" w14:textId="77777777" w:rsidR="005916C2" w:rsidRDefault="005916C2">
        <w:pPr>
          <w:pStyle w:val="a6"/>
          <w:jc w:val="center"/>
        </w:pPr>
        <w:r>
          <w:fldChar w:fldCharType="begin"/>
        </w:r>
        <w:r>
          <w:instrText>PAGE   \* MERGEFORMAT</w:instrText>
        </w:r>
        <w:r>
          <w:fldChar w:fldCharType="separate"/>
        </w:r>
        <w:r w:rsidR="003D2C73" w:rsidRPr="003D2C73">
          <w:rPr>
            <w:noProof/>
            <w:lang w:val="ja-JP"/>
          </w:rPr>
          <w:t>30</w:t>
        </w:r>
        <w:r>
          <w:fldChar w:fldCharType="end"/>
        </w:r>
      </w:p>
    </w:sdtContent>
  </w:sdt>
  <w:p w14:paraId="1933E841" w14:textId="77777777" w:rsidR="005916C2" w:rsidRDefault="005916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F7057" w14:textId="77777777" w:rsidR="003E7FA0" w:rsidRDefault="003E7FA0" w:rsidP="00C341EB">
      <w:r>
        <w:separator/>
      </w:r>
    </w:p>
  </w:footnote>
  <w:footnote w:type="continuationSeparator" w:id="0">
    <w:p w14:paraId="299AAD93" w14:textId="77777777" w:rsidR="003E7FA0" w:rsidRDefault="003E7FA0" w:rsidP="00C341EB">
      <w:r>
        <w:continuationSeparator/>
      </w:r>
    </w:p>
  </w:footnote>
  <w:footnote w:id="1">
    <w:p w14:paraId="1E6E3A4A" w14:textId="6F2B2497" w:rsidR="005916C2" w:rsidRPr="005F6787" w:rsidRDefault="005916C2" w:rsidP="0055132C">
      <w:pPr>
        <w:rPr>
          <w:szCs w:val="21"/>
        </w:rPr>
      </w:pPr>
      <w:r w:rsidRPr="005F6787">
        <w:rPr>
          <w:rStyle w:val="ad"/>
          <w:szCs w:val="21"/>
        </w:rPr>
        <w:footnoteRef/>
      </w:r>
      <w:r w:rsidRPr="005F6787">
        <w:rPr>
          <w:szCs w:val="21"/>
        </w:rPr>
        <w:t xml:space="preserve">　本稿は、舟田「ドイツ・フェイスブック競争法違反事件」法律時報</w:t>
      </w:r>
      <w:r w:rsidRPr="005F6787">
        <w:rPr>
          <w:szCs w:val="21"/>
        </w:rPr>
        <w:t>91</w:t>
      </w:r>
      <w:r w:rsidRPr="005F6787">
        <w:rPr>
          <w:szCs w:val="21"/>
        </w:rPr>
        <w:t>巻</w:t>
      </w:r>
      <w:r w:rsidRPr="005F6787">
        <w:rPr>
          <w:szCs w:val="21"/>
        </w:rPr>
        <w:t>9</w:t>
      </w:r>
      <w:r w:rsidRPr="005F6787">
        <w:rPr>
          <w:szCs w:val="21"/>
        </w:rPr>
        <w:t>号</w:t>
      </w:r>
      <w:r w:rsidRPr="005F6787">
        <w:rPr>
          <w:szCs w:val="21"/>
        </w:rPr>
        <w:t>156</w:t>
      </w:r>
      <w:r w:rsidRPr="005F6787">
        <w:rPr>
          <w:szCs w:val="21"/>
        </w:rPr>
        <w:t>頁以下</w:t>
      </w:r>
      <w:r w:rsidRPr="005F6787">
        <w:rPr>
          <w:szCs w:val="21"/>
        </w:rPr>
        <w:t>(2019)</w:t>
      </w:r>
      <w:r w:rsidRPr="005F6787">
        <w:rPr>
          <w:szCs w:val="21"/>
        </w:rPr>
        <w:t>を、大幅に加筆・修正したものである。法律時報掲載論文では触れていない論点にも論及し、また本決定後に出された執行停止決定にも触れるなどしたため、字数は</w:t>
      </w:r>
      <w:r w:rsidR="005F6787">
        <w:rPr>
          <w:rFonts w:hint="eastAsia"/>
          <w:szCs w:val="21"/>
        </w:rPr>
        <w:t>4</w:t>
      </w:r>
      <w:r w:rsidRPr="005F6787">
        <w:rPr>
          <w:szCs w:val="21"/>
        </w:rPr>
        <w:t>倍近くになった。</w:t>
      </w:r>
    </w:p>
    <w:p w14:paraId="05BEE641" w14:textId="77777777" w:rsidR="005916C2" w:rsidRPr="005F6787" w:rsidRDefault="005916C2" w:rsidP="0055132C">
      <w:pPr>
        <w:ind w:firstLineChars="100" w:firstLine="210"/>
        <w:rPr>
          <w:szCs w:val="21"/>
        </w:rPr>
      </w:pPr>
      <w:r w:rsidRPr="005F6787">
        <w:rPr>
          <w:szCs w:val="21"/>
        </w:rPr>
        <w:t>本稿では、脚注等に挙げる引用文献は、末尾掲載の</w:t>
      </w:r>
      <w:r w:rsidRPr="005F6787">
        <w:rPr>
          <w:b/>
          <w:szCs w:val="21"/>
        </w:rPr>
        <w:t>＜参考文献＞</w:t>
      </w:r>
      <w:r w:rsidRPr="005F6787">
        <w:rPr>
          <w:szCs w:val="21"/>
        </w:rPr>
        <w:t>で示した略語を用いて示す。</w:t>
      </w:r>
    </w:p>
    <w:p w14:paraId="0793F607" w14:textId="77777777" w:rsidR="005916C2" w:rsidRPr="005F6787" w:rsidRDefault="005916C2" w:rsidP="0055132C">
      <w:pPr>
        <w:ind w:firstLineChars="100" w:firstLine="210"/>
        <w:rPr>
          <w:rFonts w:cs="Times New Roman"/>
          <w:szCs w:val="21"/>
        </w:rPr>
      </w:pPr>
      <w:r w:rsidRPr="005F6787">
        <w:rPr>
          <w:szCs w:val="21"/>
        </w:rPr>
        <w:t>「競争法」という用語は、日本の独占禁止法やドイツの競争制限禁止法など、各国の競争維持・促進を目的とする法を総称する場合に用いる。ただし、</w:t>
      </w:r>
      <w:r w:rsidRPr="005F6787">
        <w:rPr>
          <w:szCs w:val="21"/>
        </w:rPr>
        <w:t>EU</w:t>
      </w:r>
      <w:r w:rsidRPr="005F6787">
        <w:rPr>
          <w:szCs w:val="21"/>
        </w:rPr>
        <w:t>機能条約</w:t>
      </w:r>
      <w:r w:rsidRPr="005F6787">
        <w:rPr>
          <w:szCs w:val="21"/>
        </w:rPr>
        <w:t>102</w:t>
      </w:r>
      <w:r w:rsidRPr="005F6787">
        <w:rPr>
          <w:szCs w:val="21"/>
        </w:rPr>
        <w:t>条・</w:t>
      </w:r>
      <w:r w:rsidRPr="005F6787">
        <w:rPr>
          <w:szCs w:val="21"/>
        </w:rPr>
        <w:t>102</w:t>
      </w:r>
      <w:r w:rsidRPr="005F6787">
        <w:rPr>
          <w:szCs w:val="21"/>
        </w:rPr>
        <w:t>条については、慣例に従って、「</w:t>
      </w:r>
      <w:r w:rsidRPr="005F6787">
        <w:rPr>
          <w:rFonts w:cs="Times New Roman"/>
          <w:szCs w:val="21"/>
        </w:rPr>
        <w:t>EU</w:t>
      </w:r>
      <w:r w:rsidRPr="005F6787">
        <w:rPr>
          <w:rFonts w:cs="Times New Roman"/>
          <w:szCs w:val="21"/>
        </w:rPr>
        <w:t>競争法」と呼ぶ。</w:t>
      </w:r>
    </w:p>
    <w:p w14:paraId="525216AD" w14:textId="77777777" w:rsidR="005916C2" w:rsidRPr="005F6787" w:rsidRDefault="005916C2">
      <w:pPr>
        <w:pStyle w:val="ab"/>
        <w:rPr>
          <w:szCs w:val="21"/>
        </w:rPr>
      </w:pPr>
    </w:p>
  </w:footnote>
  <w:footnote w:id="2">
    <w:p w14:paraId="323CC42A" w14:textId="6D093141" w:rsidR="005916C2" w:rsidRPr="005F6787" w:rsidRDefault="005916C2" w:rsidP="0039127A">
      <w:pPr>
        <w:pStyle w:val="1"/>
        <w:rPr>
          <w:rFonts w:asciiTheme="minorHAnsi" w:hAnsiTheme="minorHAnsi"/>
          <w:szCs w:val="21"/>
        </w:rPr>
      </w:pPr>
      <w:r w:rsidRPr="005F6787">
        <w:rPr>
          <w:rStyle w:val="ad"/>
          <w:rFonts w:asciiTheme="minorHAnsi" w:hAnsiTheme="minorHAnsi"/>
          <w:szCs w:val="21"/>
        </w:rPr>
        <w:footnoteRef/>
      </w:r>
      <w:r w:rsidRPr="005F6787">
        <w:rPr>
          <w:rFonts w:asciiTheme="minorHAnsi" w:hAnsiTheme="minorHAnsi"/>
          <w:szCs w:val="21"/>
        </w:rPr>
        <w:t xml:space="preserve"> </w:t>
      </w:r>
      <w:bookmarkStart w:id="0" w:name="_Hlk58446073"/>
      <w:r w:rsidRPr="005F6787">
        <w:rPr>
          <w:rFonts w:asciiTheme="minorHAnsi" w:hAnsiTheme="minorHAnsi"/>
        </w:rPr>
        <w:t>BKartA,</w:t>
      </w:r>
      <w:r w:rsidRPr="005F6787">
        <w:rPr>
          <w:rFonts w:asciiTheme="minorHAnsi" w:eastAsia="RyuminPr6-Light" w:hAnsiTheme="minorHAnsi" w:cs="RyuminPr6-Light"/>
          <w:sz w:val="21"/>
          <w:szCs w:val="21"/>
        </w:rPr>
        <w:t xml:space="preserve"> Beschl, v. 6. 2. 2019</w:t>
      </w:r>
      <w:r w:rsidRPr="005F6787">
        <w:rPr>
          <w:rFonts w:asciiTheme="minorHAnsi" w:hAnsiTheme="minorHAnsi"/>
        </w:rPr>
        <w:t xml:space="preserve">, B6-22/16. </w:t>
      </w:r>
      <w:bookmarkEnd w:id="0"/>
      <w:r w:rsidRPr="005F6787">
        <w:rPr>
          <w:rFonts w:asciiTheme="minorHAnsi" w:hAnsiTheme="minorHAnsi"/>
          <w:szCs w:val="21"/>
        </w:rPr>
        <w:t xml:space="preserve"> </w:t>
      </w:r>
      <w:hyperlink r:id="rId1" w:history="1">
        <w:r w:rsidRPr="005F6787">
          <w:rPr>
            <w:rStyle w:val="a3"/>
            <w:rFonts w:asciiTheme="minorHAnsi" w:hAnsiTheme="minorHAnsi"/>
            <w:color w:val="auto"/>
            <w:szCs w:val="21"/>
          </w:rPr>
          <w:t>http://hbfm.link/4952</w:t>
        </w:r>
      </w:hyperlink>
      <w:r w:rsidRPr="005F6787">
        <w:rPr>
          <w:rFonts w:asciiTheme="minorHAnsi" w:hAnsiTheme="minorHAnsi"/>
          <w:szCs w:val="21"/>
        </w:rPr>
        <w:t xml:space="preserve">. </w:t>
      </w:r>
      <w:r w:rsidRPr="005F6787">
        <w:rPr>
          <w:rFonts w:asciiTheme="minorHAnsi" w:hAnsiTheme="minorHAnsi"/>
          <w:szCs w:val="21"/>
        </w:rPr>
        <w:t>本決定や諸判決からの引用は、ドイツの慣用に従って、頁（</w:t>
      </w:r>
      <w:r w:rsidRPr="005F6787">
        <w:rPr>
          <w:rFonts w:asciiTheme="minorHAnsi" w:hAnsiTheme="minorHAnsi"/>
          <w:szCs w:val="21"/>
        </w:rPr>
        <w:t>S.)</w:t>
      </w:r>
      <w:r w:rsidRPr="005F6787">
        <w:rPr>
          <w:rFonts w:asciiTheme="minorHAnsi" w:hAnsiTheme="minorHAnsi"/>
          <w:szCs w:val="21"/>
        </w:rPr>
        <w:t>ではなく、</w:t>
      </w:r>
      <w:r w:rsidRPr="005F6787">
        <w:rPr>
          <w:rFonts w:asciiTheme="minorHAnsi" w:hAnsiTheme="minorHAnsi"/>
          <w:szCs w:val="21"/>
        </w:rPr>
        <w:t>Rn.</w:t>
      </w:r>
      <w:r w:rsidRPr="005F6787">
        <w:rPr>
          <w:rFonts w:asciiTheme="minorHAnsi" w:hAnsiTheme="minorHAnsi"/>
          <w:szCs w:val="21"/>
        </w:rPr>
        <w:t>で示す。なお、本決定と同時に、カルテル庁は、</w:t>
      </w:r>
      <w:r w:rsidRPr="005F6787">
        <w:rPr>
          <w:rFonts w:asciiTheme="minorHAnsi" w:hAnsiTheme="minorHAnsi"/>
          <w:szCs w:val="21"/>
        </w:rPr>
        <w:t>Fallbericht(</w:t>
      </w:r>
      <w:r w:rsidRPr="005F6787">
        <w:rPr>
          <w:rFonts w:asciiTheme="minorHAnsi" w:hAnsiTheme="minorHAnsi"/>
          <w:szCs w:val="21"/>
        </w:rPr>
        <w:t>事件解説</w:t>
      </w:r>
      <w:r w:rsidRPr="005F6787">
        <w:rPr>
          <w:rFonts w:asciiTheme="minorHAnsi" w:hAnsiTheme="minorHAnsi"/>
          <w:szCs w:val="21"/>
        </w:rPr>
        <w:t>)</w:t>
      </w:r>
      <w:r w:rsidRPr="005F6787">
        <w:rPr>
          <w:rFonts w:asciiTheme="minorHAnsi" w:hAnsiTheme="minorHAnsi"/>
          <w:szCs w:val="21"/>
        </w:rPr>
        <w:t>と</w:t>
      </w:r>
      <w:r w:rsidRPr="005F6787">
        <w:rPr>
          <w:rFonts w:asciiTheme="minorHAnsi" w:hAnsiTheme="minorHAnsi"/>
          <w:szCs w:val="21"/>
        </w:rPr>
        <w:t>Pressemitteilung(</w:t>
      </w:r>
      <w:r w:rsidRPr="005F6787">
        <w:rPr>
          <w:rFonts w:asciiTheme="minorHAnsi" w:hAnsiTheme="minorHAnsi"/>
          <w:szCs w:val="21"/>
        </w:rPr>
        <w:t>報道発表</w:t>
      </w:r>
      <w:r w:rsidRPr="005F6787">
        <w:rPr>
          <w:rFonts w:asciiTheme="minorHAnsi" w:hAnsiTheme="minorHAnsi"/>
          <w:szCs w:val="21"/>
        </w:rPr>
        <w:t>)</w:t>
      </w:r>
      <w:r w:rsidRPr="005F6787">
        <w:rPr>
          <w:rFonts w:asciiTheme="minorHAnsi" w:hAnsiTheme="minorHAnsi"/>
          <w:szCs w:val="21"/>
        </w:rPr>
        <w:t>も出している。</w:t>
      </w:r>
    </w:p>
    <w:p w14:paraId="603E4683" w14:textId="45E7D9BB" w:rsidR="005916C2" w:rsidRPr="005F6787" w:rsidRDefault="005916C2" w:rsidP="00BF2B76">
      <w:pPr>
        <w:rPr>
          <w:szCs w:val="21"/>
        </w:rPr>
      </w:pPr>
      <w:r w:rsidRPr="005F6787">
        <w:rPr>
          <w:szCs w:val="21"/>
        </w:rPr>
        <w:t>本決定については、</w:t>
      </w:r>
      <w:bookmarkStart w:id="1" w:name="_Hlk58446103"/>
      <w:r w:rsidRPr="005F6787">
        <w:t>鈴木孝之</w:t>
      </w:r>
      <w:r w:rsidRPr="005F6787">
        <w:t>[2019]</w:t>
      </w:r>
      <w:r w:rsidRPr="005F6787">
        <w:t>、</w:t>
      </w:r>
      <w:bookmarkEnd w:id="1"/>
      <w:r w:rsidRPr="005F6787">
        <w:rPr>
          <w:szCs w:val="21"/>
        </w:rPr>
        <w:t>杉本武重＝川島章裕</w:t>
      </w:r>
      <w:r w:rsidRPr="005F6787">
        <w:rPr>
          <w:szCs w:val="21"/>
        </w:rPr>
        <w:t xml:space="preserve">[2019], </w:t>
      </w:r>
      <w:r w:rsidRPr="005F6787">
        <w:rPr>
          <w:szCs w:val="21"/>
        </w:rPr>
        <w:t>土田和博</w:t>
      </w:r>
      <w:r w:rsidRPr="005F6787">
        <w:rPr>
          <w:szCs w:val="21"/>
        </w:rPr>
        <w:t>[2019]</w:t>
      </w:r>
      <w:r w:rsidRPr="005F6787">
        <w:rPr>
          <w:szCs w:val="21"/>
        </w:rPr>
        <w:t>、伊永大輔</w:t>
      </w:r>
      <w:r w:rsidRPr="005F6787">
        <w:rPr>
          <w:szCs w:val="21"/>
        </w:rPr>
        <w:t>[2019]</w:t>
      </w:r>
      <w:r w:rsidRPr="005F6787">
        <w:rPr>
          <w:szCs w:val="21"/>
        </w:rPr>
        <w:t>、島村健太郎</w:t>
      </w:r>
      <w:r w:rsidRPr="005F6787">
        <w:rPr>
          <w:szCs w:val="21"/>
        </w:rPr>
        <w:t>[2019]</w:t>
      </w:r>
      <w:r w:rsidRPr="005F6787">
        <w:rPr>
          <w:szCs w:val="21"/>
        </w:rPr>
        <w:t>、</w:t>
      </w:r>
      <w:r w:rsidRPr="005F6787">
        <w:rPr>
          <w:rFonts w:cs="メイリオ"/>
          <w:szCs w:val="21"/>
        </w:rPr>
        <w:t>市川芳治</w:t>
      </w:r>
      <w:r w:rsidRPr="005F6787">
        <w:rPr>
          <w:rFonts w:cs="メイリオ"/>
          <w:szCs w:val="21"/>
        </w:rPr>
        <w:t>[2020]</w:t>
      </w:r>
      <w:r w:rsidRPr="005F6787">
        <w:rPr>
          <w:rFonts w:cs="メイリオ"/>
          <w:szCs w:val="21"/>
        </w:rPr>
        <w:t>、</w:t>
      </w:r>
      <w:bookmarkStart w:id="2" w:name="_Hlk58446115"/>
      <w:r w:rsidRPr="005F6787">
        <w:t>ベック</w:t>
      </w:r>
      <w:r w:rsidRPr="005F6787">
        <w:t>[2020]</w:t>
      </w:r>
      <w:bookmarkEnd w:id="2"/>
      <w:r w:rsidRPr="005F6787">
        <w:rPr>
          <w:szCs w:val="21"/>
        </w:rPr>
        <w:t>等を参照。予備評価の段階ではあるが、柴田潤子</w:t>
      </w:r>
      <w:r w:rsidRPr="005F6787">
        <w:rPr>
          <w:szCs w:val="21"/>
        </w:rPr>
        <w:t>[2019a]132</w:t>
      </w:r>
      <w:r w:rsidRPr="005F6787">
        <w:rPr>
          <w:szCs w:val="21"/>
        </w:rPr>
        <w:t>頁以下も参照。本稿執筆に当たっては、特に鈴木孝之・柴田潤子両氏の和訳と解説、東條吉純氏の研究会報告等を参考にした。記して厚くお礼申し上げる。</w:t>
      </w:r>
    </w:p>
  </w:footnote>
  <w:footnote w:id="3">
    <w:p w14:paraId="502405D3"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この点は以前から注意が向けられてきた。例えば、</w:t>
      </w:r>
      <w:r w:rsidRPr="005F6787">
        <w:rPr>
          <w:rFonts w:cs="メイリオ"/>
          <w:szCs w:val="21"/>
        </w:rPr>
        <w:t>市川芳治</w:t>
      </w:r>
      <w:r w:rsidRPr="005F6787">
        <w:rPr>
          <w:rFonts w:cs="メイリオ"/>
          <w:szCs w:val="21"/>
        </w:rPr>
        <w:t>[2016-17]</w:t>
      </w:r>
      <w:r w:rsidRPr="005F6787">
        <w:rPr>
          <w:rFonts w:cs="メイリオ"/>
          <w:szCs w:val="21"/>
        </w:rPr>
        <w:t>参照。</w:t>
      </w:r>
    </w:p>
  </w:footnote>
  <w:footnote w:id="4">
    <w:p w14:paraId="1100619F" w14:textId="77777777" w:rsidR="005916C2" w:rsidRPr="005F6787" w:rsidRDefault="005916C2" w:rsidP="00530450">
      <w:pPr>
        <w:pStyle w:val="ab"/>
        <w:rPr>
          <w:szCs w:val="21"/>
        </w:rPr>
      </w:pPr>
      <w:r w:rsidRPr="005F6787">
        <w:rPr>
          <w:rStyle w:val="ad"/>
          <w:szCs w:val="21"/>
        </w:rPr>
        <w:footnoteRef/>
      </w:r>
      <w:r w:rsidRPr="005F6787">
        <w:rPr>
          <w:szCs w:val="21"/>
        </w:rPr>
        <w:t xml:space="preserve"> </w:t>
      </w:r>
      <w:r w:rsidRPr="005F6787">
        <w:rPr>
          <w:szCs w:val="21"/>
        </w:rPr>
        <w:t xml:space="preserve">　これに対応して、ドイツの連邦データ保護法も改正された。これについては、泉眞樹子</w:t>
      </w:r>
      <w:r w:rsidRPr="005F6787">
        <w:rPr>
          <w:szCs w:val="21"/>
        </w:rPr>
        <w:t>[2018]</w:t>
      </w:r>
      <w:r w:rsidRPr="005F6787">
        <w:rPr>
          <w:szCs w:val="21"/>
        </w:rPr>
        <w:t>を参照。</w:t>
      </w:r>
    </w:p>
  </w:footnote>
  <w:footnote w:id="5">
    <w:p w14:paraId="56ADCECD" w14:textId="77777777" w:rsidR="005916C2" w:rsidRPr="005F6787" w:rsidRDefault="005916C2" w:rsidP="003F0BE9">
      <w:pPr>
        <w:rPr>
          <w:szCs w:val="21"/>
        </w:rPr>
      </w:pPr>
      <w:r w:rsidRPr="005F6787">
        <w:rPr>
          <w:rStyle w:val="ad"/>
          <w:szCs w:val="21"/>
        </w:rPr>
        <w:footnoteRef/>
      </w:r>
      <w:r w:rsidRPr="005F6787">
        <w:rPr>
          <w:szCs w:val="21"/>
        </w:rPr>
        <w:t xml:space="preserve"> </w:t>
      </w:r>
      <w:r w:rsidRPr="005F6787">
        <w:rPr>
          <w:szCs w:val="21"/>
        </w:rPr>
        <w:t xml:space="preserve">　参照、</w:t>
      </w:r>
      <w:r w:rsidRPr="005F6787">
        <w:rPr>
          <w:szCs w:val="21"/>
        </w:rPr>
        <w:t>Langen/Bunte[2014], §19, Rn.6.</w:t>
      </w:r>
    </w:p>
  </w:footnote>
  <w:footnote w:id="6">
    <w:p w14:paraId="64E37798" w14:textId="77777777" w:rsidR="005916C2" w:rsidRPr="005F6787" w:rsidRDefault="005916C2" w:rsidP="002711B8">
      <w:pPr>
        <w:pStyle w:val="ab"/>
        <w:rPr>
          <w:szCs w:val="21"/>
        </w:rPr>
      </w:pPr>
      <w:r w:rsidRPr="005F6787">
        <w:rPr>
          <w:rStyle w:val="ad"/>
          <w:szCs w:val="21"/>
        </w:rPr>
        <w:footnoteRef/>
      </w:r>
      <w:r w:rsidRPr="005F6787">
        <w:rPr>
          <w:szCs w:val="21"/>
        </w:rPr>
        <w:t xml:space="preserve">  </w:t>
      </w:r>
      <w:r w:rsidRPr="005F6787">
        <w:rPr>
          <w:szCs w:val="21"/>
        </w:rPr>
        <w:t>田中裕明</w:t>
      </w:r>
      <w:r w:rsidRPr="005F6787">
        <w:rPr>
          <w:szCs w:val="21"/>
        </w:rPr>
        <w:t>[2018]48</w:t>
      </w:r>
      <w:r w:rsidRPr="005F6787">
        <w:rPr>
          <w:szCs w:val="21"/>
        </w:rPr>
        <w:t>頁以下、柴田潤子</w:t>
      </w:r>
      <w:r w:rsidRPr="005F6787">
        <w:rPr>
          <w:szCs w:val="21"/>
        </w:rPr>
        <w:t>[2019a]121</w:t>
      </w:r>
      <w:r w:rsidRPr="005F6787">
        <w:rPr>
          <w:szCs w:val="21"/>
        </w:rPr>
        <w:t>頁等を参照。</w:t>
      </w:r>
    </w:p>
  </w:footnote>
  <w:footnote w:id="7">
    <w:p w14:paraId="056FFC5B"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柴田潤子</w:t>
      </w:r>
      <w:r w:rsidRPr="005F6787">
        <w:rPr>
          <w:szCs w:val="21"/>
        </w:rPr>
        <w:t>[2019b]</w:t>
      </w:r>
      <w:r w:rsidRPr="005F6787">
        <w:rPr>
          <w:szCs w:val="21"/>
        </w:rPr>
        <w:t>参照。本件の異議告知の段階について、中島美香</w:t>
      </w:r>
      <w:r w:rsidRPr="005F6787">
        <w:rPr>
          <w:szCs w:val="21"/>
        </w:rPr>
        <w:t>[2017]</w:t>
      </w:r>
      <w:r w:rsidRPr="005F6787">
        <w:rPr>
          <w:szCs w:val="21"/>
        </w:rPr>
        <w:t>参照。</w:t>
      </w:r>
    </w:p>
  </w:footnote>
  <w:footnote w:id="8">
    <w:p w14:paraId="3430E562"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柴田潤子</w:t>
      </w:r>
      <w:r w:rsidRPr="005F6787">
        <w:rPr>
          <w:szCs w:val="21"/>
        </w:rPr>
        <w:t>[2017b]226</w:t>
      </w:r>
      <w:r w:rsidRPr="005F6787">
        <w:rPr>
          <w:szCs w:val="21"/>
        </w:rPr>
        <w:t>頁以下</w:t>
      </w:r>
      <w:r w:rsidRPr="005F6787">
        <w:rPr>
          <w:szCs w:val="21"/>
        </w:rPr>
        <w:t xml:space="preserve">, </w:t>
      </w:r>
      <w:r w:rsidRPr="005F6787">
        <w:rPr>
          <w:szCs w:val="21"/>
        </w:rPr>
        <w:t>柴田潤子</w:t>
      </w:r>
      <w:r w:rsidRPr="005F6787">
        <w:rPr>
          <w:szCs w:val="21"/>
        </w:rPr>
        <w:t>[2019a]</w:t>
      </w:r>
      <w:r w:rsidRPr="005F6787">
        <w:rPr>
          <w:szCs w:val="21"/>
        </w:rPr>
        <w:t>、柴田潤子</w:t>
      </w:r>
      <w:r w:rsidRPr="005F6787">
        <w:rPr>
          <w:szCs w:val="21"/>
        </w:rPr>
        <w:t>[2019b]</w:t>
      </w:r>
      <w:r w:rsidRPr="005F6787">
        <w:rPr>
          <w:szCs w:val="21"/>
        </w:rPr>
        <w:t>参照。その前提は、</w:t>
      </w:r>
      <w:r w:rsidRPr="005F6787">
        <w:rPr>
          <w:szCs w:val="21"/>
        </w:rPr>
        <w:t>FB</w:t>
      </w:r>
      <w:r w:rsidRPr="005F6787">
        <w:rPr>
          <w:szCs w:val="21"/>
        </w:rPr>
        <w:t>等が収集・処理する個人データは、今日の経済において圧倒的な重要性と経済的価値をもっており、それに基づいて、市場支配力を形成・強化できるようになっている、という認識である。</w:t>
      </w:r>
    </w:p>
  </w:footnote>
  <w:footnote w:id="9">
    <w:p w14:paraId="52DCAE87"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土田和博</w:t>
      </w:r>
      <w:r w:rsidRPr="005F6787">
        <w:rPr>
          <w:szCs w:val="21"/>
        </w:rPr>
        <w:t>[2019]54</w:t>
      </w:r>
      <w:r w:rsidRPr="005F6787">
        <w:rPr>
          <w:szCs w:val="21"/>
        </w:rPr>
        <w:t>頁参照。</w:t>
      </w:r>
    </w:p>
  </w:footnote>
  <w:footnote w:id="10">
    <w:p w14:paraId="77204748"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アメックス事件判決については、井畑陽平</w:t>
      </w:r>
      <w:r w:rsidRPr="005F6787">
        <w:rPr>
          <w:szCs w:val="21"/>
        </w:rPr>
        <w:t>[2019]</w:t>
      </w:r>
      <w:r w:rsidRPr="005F6787">
        <w:rPr>
          <w:szCs w:val="21"/>
        </w:rPr>
        <w:t>を参照。</w:t>
      </w:r>
    </w:p>
  </w:footnote>
  <w:footnote w:id="11">
    <w:p w14:paraId="2C5B97FC"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詳しくは、柴田潤子</w:t>
      </w:r>
      <w:r w:rsidRPr="005F6787">
        <w:rPr>
          <w:szCs w:val="21"/>
        </w:rPr>
        <w:t>[2019b]122</w:t>
      </w:r>
      <w:r w:rsidRPr="005F6787">
        <w:rPr>
          <w:szCs w:val="21"/>
        </w:rPr>
        <w:t>頁以下を参照。</w:t>
      </w:r>
    </w:p>
  </w:footnote>
  <w:footnote w:id="12">
    <w:p w14:paraId="50E257B7" w14:textId="77777777" w:rsidR="005916C2" w:rsidRPr="005F6787" w:rsidRDefault="005916C2" w:rsidP="004E2496">
      <w:pPr>
        <w:pStyle w:val="ab"/>
        <w:rPr>
          <w:szCs w:val="21"/>
        </w:rPr>
      </w:pPr>
      <w:r w:rsidRPr="005F6787">
        <w:rPr>
          <w:rStyle w:val="ad"/>
          <w:szCs w:val="21"/>
        </w:rPr>
        <w:footnoteRef/>
      </w:r>
      <w:r w:rsidRPr="005F6787">
        <w:rPr>
          <w:szCs w:val="21"/>
        </w:rPr>
        <w:t xml:space="preserve"> </w:t>
      </w:r>
      <w:r w:rsidRPr="005F6787">
        <w:rPr>
          <w:szCs w:val="21"/>
        </w:rPr>
        <w:t xml:space="preserve">　ドイツ競争法における妨害的濫用と搾取的濫用については、</w:t>
      </w:r>
      <w:r w:rsidRPr="005F6787">
        <w:rPr>
          <w:rFonts w:cs="Arial"/>
          <w:kern w:val="0"/>
          <w:szCs w:val="21"/>
        </w:rPr>
        <w:t>舟田</w:t>
      </w:r>
      <w:r w:rsidRPr="005F6787">
        <w:rPr>
          <w:rFonts w:cs="Arial"/>
          <w:kern w:val="0"/>
          <w:szCs w:val="21"/>
        </w:rPr>
        <w:t>[2009]128</w:t>
      </w:r>
      <w:r w:rsidRPr="005F6787">
        <w:rPr>
          <w:rFonts w:cs="Arial"/>
          <w:kern w:val="0"/>
          <w:szCs w:val="21"/>
        </w:rPr>
        <w:t>頁以下参照。</w:t>
      </w:r>
    </w:p>
  </w:footnote>
  <w:footnote w:id="13">
    <w:p w14:paraId="164BF807"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このような</w:t>
      </w:r>
      <w:r w:rsidRPr="005F6787">
        <w:rPr>
          <w:rFonts w:cs="Times New Roman"/>
          <w:szCs w:val="21"/>
        </w:rPr>
        <w:t>「条件」の解釈によれば、ドイツ民法（</w:t>
      </w:r>
      <w:r w:rsidRPr="005F6787">
        <w:rPr>
          <w:szCs w:val="21"/>
        </w:rPr>
        <w:t xml:space="preserve">BGB </w:t>
      </w:r>
      <w:r w:rsidRPr="005F6787">
        <w:rPr>
          <w:szCs w:val="21"/>
        </w:rPr>
        <w:t>）</w:t>
      </w:r>
      <w:r w:rsidRPr="005F6787">
        <w:rPr>
          <w:szCs w:val="21"/>
        </w:rPr>
        <w:t>305</w:t>
      </w:r>
      <w:r w:rsidRPr="005F6787">
        <w:rPr>
          <w:szCs w:val="21"/>
        </w:rPr>
        <w:t>条における「約款」を超える射程距離を持つことになろう。このことは、日本における優越的地位濫用の規制と改正民法</w:t>
      </w:r>
      <w:r w:rsidRPr="005F6787">
        <w:rPr>
          <w:szCs w:val="21"/>
        </w:rPr>
        <w:t>548</w:t>
      </w:r>
      <w:r w:rsidRPr="005F6787">
        <w:rPr>
          <w:szCs w:val="21"/>
        </w:rPr>
        <w:t>条の</w:t>
      </w:r>
      <w:r w:rsidRPr="005F6787">
        <w:rPr>
          <w:szCs w:val="21"/>
        </w:rPr>
        <w:t>2</w:t>
      </w:r>
      <w:r w:rsidRPr="005F6787">
        <w:rPr>
          <w:szCs w:val="21"/>
        </w:rPr>
        <w:t>の関係についても同様であると解される。</w:t>
      </w:r>
    </w:p>
  </w:footnote>
  <w:footnote w:id="14">
    <w:p w14:paraId="7B76D146" w14:textId="77777777" w:rsidR="005916C2" w:rsidRPr="005F6787" w:rsidRDefault="005916C2" w:rsidP="00E53BFC">
      <w:pPr>
        <w:rPr>
          <w:szCs w:val="21"/>
        </w:rPr>
      </w:pPr>
      <w:r w:rsidRPr="005F6787">
        <w:rPr>
          <w:rStyle w:val="ad"/>
          <w:szCs w:val="21"/>
        </w:rPr>
        <w:footnoteRef/>
      </w:r>
      <w:r w:rsidRPr="005F6787">
        <w:rPr>
          <w:szCs w:val="21"/>
        </w:rPr>
        <w:t xml:space="preserve">  </w:t>
      </w:r>
      <w:r w:rsidRPr="005F6787">
        <w:rPr>
          <w:szCs w:val="21"/>
        </w:rPr>
        <w:t>参照、</w:t>
      </w:r>
      <w:r w:rsidRPr="005F6787">
        <w:rPr>
          <w:szCs w:val="21"/>
        </w:rPr>
        <w:t>Immenga/Mestmacker[2014], §19,Rn.256,275f.</w:t>
      </w:r>
      <w:r w:rsidRPr="005F6787">
        <w:rPr>
          <w:szCs w:val="21"/>
        </w:rPr>
        <w:t xml:space="preserve">　</w:t>
      </w:r>
    </w:p>
  </w:footnote>
  <w:footnote w:id="15">
    <w:p w14:paraId="18475521" w14:textId="77777777" w:rsidR="005916C2" w:rsidRPr="005F6787" w:rsidRDefault="005916C2" w:rsidP="00E53BFC">
      <w:pPr>
        <w:rPr>
          <w:szCs w:val="21"/>
        </w:rPr>
      </w:pPr>
      <w:r w:rsidRPr="005F6787">
        <w:rPr>
          <w:rStyle w:val="ad"/>
          <w:szCs w:val="21"/>
        </w:rPr>
        <w:footnoteRef/>
      </w:r>
      <w:r w:rsidRPr="005F6787">
        <w:rPr>
          <w:szCs w:val="21"/>
        </w:rPr>
        <w:t xml:space="preserve">  </w:t>
      </w:r>
      <w:r w:rsidRPr="005F6787">
        <w:rPr>
          <w:szCs w:val="21"/>
        </w:rPr>
        <w:t>参照、</w:t>
      </w:r>
      <w:r w:rsidRPr="005F6787">
        <w:rPr>
          <w:szCs w:val="21"/>
        </w:rPr>
        <w:t xml:space="preserve">Langen/Bunte[2014], §19, </w:t>
      </w:r>
      <w:r w:rsidRPr="005F6787">
        <w:rPr>
          <w:b/>
          <w:szCs w:val="21"/>
        </w:rPr>
        <w:t>Rn.121</w:t>
      </w:r>
    </w:p>
  </w:footnote>
  <w:footnote w:id="16">
    <w:p w14:paraId="03999FA5"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普通取引約款法</w:t>
      </w:r>
      <w:r w:rsidRPr="005F6787">
        <w:rPr>
          <w:szCs w:val="21"/>
        </w:rPr>
        <w:t>(AGBG.</w:t>
      </w:r>
      <w:r w:rsidRPr="005F6787">
        <w:rPr>
          <w:szCs w:val="21"/>
        </w:rPr>
        <w:t>または</w:t>
      </w:r>
      <w:r w:rsidRPr="005F6787">
        <w:rPr>
          <w:szCs w:val="21"/>
        </w:rPr>
        <w:t>AGB</w:t>
      </w:r>
      <w:r w:rsidRPr="005F6787">
        <w:rPr>
          <w:szCs w:val="21"/>
        </w:rPr>
        <w:t>法</w:t>
      </w:r>
      <w:r w:rsidRPr="005F6787">
        <w:rPr>
          <w:szCs w:val="21"/>
        </w:rPr>
        <w:t>)</w:t>
      </w:r>
      <w:r w:rsidRPr="005F6787">
        <w:rPr>
          <w:szCs w:val="21"/>
        </w:rPr>
        <w:t>については、日本でも多くの研究がある。最も早い起草段階の研究として、谷本圭子</w:t>
      </w:r>
      <w:r w:rsidRPr="005F6787">
        <w:rPr>
          <w:szCs w:val="21"/>
        </w:rPr>
        <w:t>[1996]</w:t>
      </w:r>
      <w:r w:rsidRPr="005F6787">
        <w:rPr>
          <w:szCs w:val="21"/>
        </w:rPr>
        <w:t>参照。</w:t>
      </w:r>
    </w:p>
  </w:footnote>
  <w:footnote w:id="17">
    <w:p w14:paraId="378E2973" w14:textId="205A924C" w:rsidR="005916C2" w:rsidRPr="005F6787" w:rsidRDefault="005916C2" w:rsidP="00DC4F46">
      <w:pPr>
        <w:rPr>
          <w:strike/>
          <w:szCs w:val="21"/>
        </w:rPr>
      </w:pPr>
      <w:r w:rsidRPr="005F6787">
        <w:rPr>
          <w:rStyle w:val="ad"/>
          <w:szCs w:val="21"/>
        </w:rPr>
        <w:footnoteRef/>
      </w:r>
      <w:r w:rsidRPr="005F6787">
        <w:rPr>
          <w:szCs w:val="21"/>
        </w:rPr>
        <w:t xml:space="preserve">  </w:t>
      </w:r>
      <w:r w:rsidRPr="005F6787">
        <w:rPr>
          <w:szCs w:val="21"/>
        </w:rPr>
        <w:t>参照、</w:t>
      </w:r>
      <w:r w:rsidRPr="005F6787">
        <w:rPr>
          <w:szCs w:val="21"/>
        </w:rPr>
        <w:t xml:space="preserve">Immenga/Mestmacker[2014], </w:t>
      </w:r>
      <w:bookmarkStart w:id="3" w:name="_Hlk58447144"/>
      <w:r w:rsidRPr="005F6787">
        <w:rPr>
          <w:szCs w:val="21"/>
        </w:rPr>
        <w:t>§</w:t>
      </w:r>
      <w:bookmarkEnd w:id="3"/>
      <w:r w:rsidRPr="005F6787">
        <w:rPr>
          <w:szCs w:val="21"/>
        </w:rPr>
        <w:t xml:space="preserve">19,Rn.254. </w:t>
      </w:r>
      <w:r w:rsidRPr="005F6787">
        <w:rPr>
          <w:szCs w:val="21"/>
        </w:rPr>
        <w:t>普通取引約款に対する条件濫用規制についてリーディング・ケースとされるのは、遠隔地冷暖房サービスに関する</w:t>
      </w:r>
      <w:r w:rsidRPr="005F6787">
        <w:rPr>
          <w:rFonts w:cs="Arial"/>
          <w:kern w:val="0"/>
          <w:szCs w:val="21"/>
        </w:rPr>
        <w:t>,,Favorit”</w:t>
      </w:r>
      <w:r w:rsidRPr="005F6787">
        <w:rPr>
          <w:rFonts w:cs="Arial"/>
          <w:kern w:val="0"/>
          <w:szCs w:val="21"/>
        </w:rPr>
        <w:t>事件の</w:t>
      </w:r>
      <w:r w:rsidRPr="005F6787">
        <w:rPr>
          <w:szCs w:val="21"/>
        </w:rPr>
        <w:t>BGH</w:t>
      </w:r>
      <w:r w:rsidRPr="005F6787">
        <w:rPr>
          <w:szCs w:val="21"/>
        </w:rPr>
        <w:t>判決である。</w:t>
      </w:r>
      <w:r w:rsidRPr="005F6787">
        <w:rPr>
          <w:szCs w:val="21"/>
        </w:rPr>
        <w:t>BGH</w:t>
      </w:r>
      <w:r w:rsidRPr="005F6787">
        <w:t xml:space="preserve">, Beschl. </w:t>
      </w:r>
      <w:r w:rsidRPr="005F6787">
        <w:rPr>
          <w:szCs w:val="21"/>
        </w:rPr>
        <w:t xml:space="preserve">v. 6.11.1984 WuW/E BGH 2103, 2105 ,,Favorit”. </w:t>
      </w:r>
      <w:r w:rsidRPr="005F6787">
        <w:rPr>
          <w:szCs w:val="21"/>
        </w:rPr>
        <w:t>本件については、柴田潤子</w:t>
      </w:r>
      <w:r w:rsidRPr="005F6787">
        <w:rPr>
          <w:szCs w:val="21"/>
        </w:rPr>
        <w:t>[2019b]134</w:t>
      </w:r>
      <w:r w:rsidRPr="005F6787">
        <w:rPr>
          <w:szCs w:val="21"/>
        </w:rPr>
        <w:t>頁注</w:t>
      </w:r>
      <w:r w:rsidRPr="005F6787">
        <w:rPr>
          <w:szCs w:val="21"/>
        </w:rPr>
        <w:t>8</w:t>
      </w:r>
      <w:r w:rsidRPr="005F6787">
        <w:rPr>
          <w:szCs w:val="21"/>
        </w:rPr>
        <w:t>を参照。</w:t>
      </w:r>
      <w:r w:rsidRPr="005F6787">
        <w:rPr>
          <w:strike/>
          <w:szCs w:val="21"/>
        </w:rPr>
        <w:t>また、</w:t>
      </w:r>
      <w:r w:rsidRPr="005F6787">
        <w:rPr>
          <w:strike/>
          <w:szCs w:val="21"/>
        </w:rPr>
        <w:t>OLG Koblenz v. 14.6.1985 WuW/E OLG 3608.</w:t>
      </w:r>
      <w:r w:rsidRPr="005F6787">
        <w:rPr>
          <w:strike/>
          <w:szCs w:val="21"/>
        </w:rPr>
        <w:t>もよく引用されている。</w:t>
      </w:r>
    </w:p>
    <w:p w14:paraId="63D8F692" w14:textId="6BB3111A" w:rsidR="005916C2" w:rsidRPr="005F6787" w:rsidRDefault="005916C2" w:rsidP="00DC4F46">
      <w:pPr>
        <w:rPr>
          <w:szCs w:val="21"/>
        </w:rPr>
      </w:pPr>
      <w:r w:rsidRPr="005F6787">
        <w:rPr>
          <w:szCs w:val="21"/>
        </w:rPr>
        <w:t xml:space="preserve">　取引条件濫用のケースで近年最も注目されたのが、大規模小売業者による納入業者に対する</w:t>
      </w:r>
      <w:r w:rsidRPr="005F6787">
        <w:rPr>
          <w:rFonts w:cs="ＭＳ明朝"/>
          <w:kern w:val="0"/>
          <w:szCs w:val="21"/>
        </w:rPr>
        <w:t>利益供与の要請を違法とした</w:t>
      </w:r>
      <w:r w:rsidRPr="005F6787">
        <w:rPr>
          <w:szCs w:val="21"/>
        </w:rPr>
        <w:t>エデカ事件であるが、これは個別の取引条件に係る事件である（</w:t>
      </w:r>
      <w:r w:rsidRPr="005F6787">
        <w:rPr>
          <w:rFonts w:cs="Times New Roman"/>
          <w:szCs w:val="21"/>
        </w:rPr>
        <w:t>BGH</w:t>
      </w:r>
      <w:r w:rsidRPr="005F6787">
        <w:t xml:space="preserve">, Beschl. </w:t>
      </w:r>
      <w:r w:rsidRPr="005F6787">
        <w:rPr>
          <w:rFonts w:cs="Times New Roman"/>
          <w:szCs w:val="21"/>
        </w:rPr>
        <w:t>v. 23.1.2018, KVR3/17</w:t>
      </w:r>
      <w:r w:rsidRPr="005F6787">
        <w:rPr>
          <w:rFonts w:cs="Times New Roman"/>
          <w:szCs w:val="21"/>
        </w:rPr>
        <w:t>）。本件については、</w:t>
      </w:r>
      <w:r w:rsidRPr="005F6787">
        <w:rPr>
          <w:szCs w:val="21"/>
        </w:rPr>
        <w:t>柴田潤子</w:t>
      </w:r>
      <w:r w:rsidRPr="005F6787">
        <w:rPr>
          <w:szCs w:val="21"/>
        </w:rPr>
        <w:t>[2018]</w:t>
      </w:r>
      <w:r w:rsidRPr="005F6787">
        <w:rPr>
          <w:szCs w:val="21"/>
        </w:rPr>
        <w:t>を参照。</w:t>
      </w:r>
    </w:p>
  </w:footnote>
  <w:footnote w:id="18">
    <w:p w14:paraId="1578180F"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参照、</w:t>
      </w:r>
      <w:r w:rsidRPr="005F6787">
        <w:rPr>
          <w:szCs w:val="21"/>
        </w:rPr>
        <w:t>Immenga/Mestmacker[2014], §19,Rn.256</w:t>
      </w:r>
    </w:p>
  </w:footnote>
  <w:footnote w:id="19">
    <w:p w14:paraId="3B3FA2D5" w14:textId="77777777" w:rsidR="005916C2" w:rsidRPr="005F6787" w:rsidRDefault="005916C2" w:rsidP="00F35C0E">
      <w:pPr>
        <w:jc w:val="left"/>
        <w:rPr>
          <w:szCs w:val="21"/>
        </w:rPr>
      </w:pPr>
      <w:r w:rsidRPr="005F6787">
        <w:rPr>
          <w:rStyle w:val="ad"/>
          <w:szCs w:val="21"/>
        </w:rPr>
        <w:footnoteRef/>
      </w:r>
      <w:r w:rsidRPr="005F6787">
        <w:rPr>
          <w:szCs w:val="21"/>
        </w:rPr>
        <w:t xml:space="preserve">   </w:t>
      </w:r>
      <w:r w:rsidRPr="005F6787">
        <w:rPr>
          <w:szCs w:val="21"/>
        </w:rPr>
        <w:t>以上については、柴田潤子</w:t>
      </w:r>
      <w:r w:rsidRPr="005F6787">
        <w:rPr>
          <w:szCs w:val="21"/>
        </w:rPr>
        <w:t>[2019a]133</w:t>
      </w:r>
      <w:r w:rsidRPr="005F6787">
        <w:rPr>
          <w:szCs w:val="21"/>
        </w:rPr>
        <w:t>頁以下を参照。</w:t>
      </w:r>
    </w:p>
  </w:footnote>
  <w:footnote w:id="20">
    <w:p w14:paraId="1356A5BD" w14:textId="77777777" w:rsidR="005916C2" w:rsidRPr="005F6787" w:rsidRDefault="005916C2" w:rsidP="002711B8">
      <w:pPr>
        <w:rPr>
          <w:szCs w:val="21"/>
        </w:rPr>
      </w:pPr>
      <w:r w:rsidRPr="005F6787">
        <w:rPr>
          <w:rStyle w:val="ad"/>
          <w:szCs w:val="21"/>
        </w:rPr>
        <w:footnoteRef/>
      </w:r>
      <w:r w:rsidRPr="005F6787">
        <w:rPr>
          <w:szCs w:val="21"/>
        </w:rPr>
        <w:t xml:space="preserve">　連邦経済・エネルギー省「グリーン・ペーパー『デジタル・プラットフォーム』</w:t>
      </w:r>
      <w:r w:rsidRPr="005F6787">
        <w:rPr>
          <w:rFonts w:cs="Arial"/>
          <w:kern w:val="0"/>
          <w:szCs w:val="21"/>
        </w:rPr>
        <w:t>Gr</w:t>
      </w:r>
      <w:hyperlink r:id="rId2" w:anchor="#" w:history="1">
        <w:r w:rsidRPr="005F6787">
          <w:rPr>
            <w:rStyle w:val="a3"/>
            <w:color w:val="auto"/>
            <w:szCs w:val="21"/>
          </w:rPr>
          <w:t>ü</w:t>
        </w:r>
      </w:hyperlink>
      <w:r w:rsidRPr="005F6787">
        <w:rPr>
          <w:rFonts w:cs="Arial"/>
          <w:kern w:val="0"/>
          <w:szCs w:val="21"/>
        </w:rPr>
        <w:t>nbuch Digitale Plattformen</w:t>
      </w:r>
      <w:r w:rsidRPr="005F6787">
        <w:rPr>
          <w:szCs w:val="21"/>
        </w:rPr>
        <w:t>」（</w:t>
      </w:r>
      <w:r w:rsidRPr="005F6787">
        <w:rPr>
          <w:szCs w:val="21"/>
        </w:rPr>
        <w:t>2016</w:t>
      </w:r>
      <w:r w:rsidRPr="005F6787">
        <w:rPr>
          <w:szCs w:val="21"/>
        </w:rPr>
        <w:t>）</w:t>
      </w:r>
      <w:r w:rsidRPr="005F6787">
        <w:rPr>
          <w:szCs w:val="21"/>
        </w:rPr>
        <w:t>48</w:t>
      </w:r>
      <w:r w:rsidRPr="005F6787">
        <w:rPr>
          <w:szCs w:val="21"/>
        </w:rPr>
        <w:t>頁、柴田潤子</w:t>
      </w:r>
      <w:r w:rsidRPr="005F6787">
        <w:rPr>
          <w:szCs w:val="21"/>
        </w:rPr>
        <w:t>[2019a]135</w:t>
      </w:r>
      <w:r w:rsidRPr="005F6787">
        <w:rPr>
          <w:szCs w:val="21"/>
        </w:rPr>
        <w:t>頁以下参照。</w:t>
      </w:r>
    </w:p>
    <w:p w14:paraId="7E210DC3" w14:textId="77777777" w:rsidR="005916C2" w:rsidRPr="005F6787" w:rsidRDefault="003E7FA0" w:rsidP="002711B8">
      <w:pPr>
        <w:shd w:val="clear" w:color="auto" w:fill="FFFFFF"/>
        <w:rPr>
          <w:szCs w:val="21"/>
        </w:rPr>
      </w:pPr>
      <w:hyperlink r:id="rId3" w:tgtFrame="_blank" w:history="1">
        <w:r w:rsidR="005916C2" w:rsidRPr="005F6787">
          <w:rPr>
            <w:rStyle w:val="a3"/>
            <w:rFonts w:cs="Arial"/>
            <w:color w:val="auto"/>
            <w:szCs w:val="21"/>
          </w:rPr>
          <w:t>https://www.bmwi.de/Redaktion/DE/Publikationen/Digitale-Welt/gruenbuch-digitale-plattformen.pdf?__blob=publicationFile&amp;v=32</w:t>
        </w:r>
      </w:hyperlink>
    </w:p>
  </w:footnote>
  <w:footnote w:id="21">
    <w:p w14:paraId="5519E454" w14:textId="5FB70CB6"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和訳は、佐成実</w:t>
      </w:r>
      <w:r w:rsidRPr="005F6787">
        <w:rPr>
          <w:szCs w:val="21"/>
        </w:rPr>
        <w:t>[2014]</w:t>
      </w:r>
      <w:r w:rsidRPr="005F6787">
        <w:rPr>
          <w:szCs w:val="21"/>
        </w:rPr>
        <w:t>による。ドイツ民法の内容規制については、日本の消費者契約法</w:t>
      </w:r>
      <w:r w:rsidRPr="005F6787">
        <w:rPr>
          <w:szCs w:val="21"/>
        </w:rPr>
        <w:t>10</w:t>
      </w:r>
      <w:r w:rsidRPr="005F6787">
        <w:rPr>
          <w:szCs w:val="21"/>
        </w:rPr>
        <w:t>条とも関連するので、多くの研究がある。山本豊</w:t>
      </w:r>
      <w:r w:rsidRPr="005F6787">
        <w:rPr>
          <w:szCs w:val="21"/>
        </w:rPr>
        <w:t>[1998]</w:t>
      </w:r>
      <w:r w:rsidRPr="005F6787">
        <w:rPr>
          <w:szCs w:val="21"/>
        </w:rPr>
        <w:t>、</w:t>
      </w:r>
      <w:bookmarkStart w:id="6" w:name="_Hlk58747175"/>
      <w:r w:rsidRPr="005F6787">
        <w:rPr>
          <w:szCs w:val="21"/>
        </w:rPr>
        <w:t>原田昌和</w:t>
      </w:r>
      <w:r w:rsidRPr="005F6787">
        <w:rPr>
          <w:szCs w:val="21"/>
        </w:rPr>
        <w:t>[2000]</w:t>
      </w:r>
      <w:r w:rsidRPr="005F6787">
        <w:rPr>
          <w:szCs w:val="21"/>
        </w:rPr>
        <w:t>、原田昌和</w:t>
      </w:r>
      <w:r w:rsidRPr="005F6787">
        <w:rPr>
          <w:szCs w:val="21"/>
        </w:rPr>
        <w:t>[2000-01]</w:t>
      </w:r>
      <w:r w:rsidRPr="005F6787">
        <w:rPr>
          <w:szCs w:val="21"/>
        </w:rPr>
        <w:t>、原田昌和</w:t>
      </w:r>
      <w:r w:rsidRPr="005F6787">
        <w:rPr>
          <w:szCs w:val="21"/>
        </w:rPr>
        <w:t>[2002]</w:t>
      </w:r>
      <w:r w:rsidRPr="005F6787">
        <w:rPr>
          <w:szCs w:val="21"/>
        </w:rPr>
        <w:t>、</w:t>
      </w:r>
      <w:bookmarkEnd w:id="6"/>
      <w:r w:rsidRPr="005F6787">
        <w:rPr>
          <w:szCs w:val="21"/>
        </w:rPr>
        <w:t>原田昌和</w:t>
      </w:r>
      <w:r w:rsidRPr="005F6787">
        <w:rPr>
          <w:szCs w:val="21"/>
        </w:rPr>
        <w:t>[2007-08]</w:t>
      </w:r>
      <w:r w:rsidRPr="005F6787">
        <w:rPr>
          <w:szCs w:val="21"/>
        </w:rPr>
        <w:t>、プレルス</w:t>
      </w:r>
      <w:r w:rsidRPr="005F6787">
        <w:rPr>
          <w:szCs w:val="21"/>
        </w:rPr>
        <w:t>[2011]</w:t>
      </w:r>
      <w:r w:rsidRPr="005F6787">
        <w:rPr>
          <w:szCs w:val="21"/>
        </w:rPr>
        <w:t>、丸山絵美子</w:t>
      </w:r>
      <w:r w:rsidRPr="005F6787">
        <w:rPr>
          <w:szCs w:val="21"/>
        </w:rPr>
        <w:t>[2014]</w:t>
      </w:r>
      <w:r w:rsidRPr="005F6787">
        <w:rPr>
          <w:szCs w:val="21"/>
        </w:rPr>
        <w:t>、</w:t>
      </w:r>
      <w:r w:rsidRPr="005F6787">
        <w:rPr>
          <w:rFonts w:cs="Arial"/>
          <w:szCs w:val="21"/>
        </w:rPr>
        <w:t>丸山絵美子</w:t>
      </w:r>
      <w:r w:rsidRPr="005F6787">
        <w:rPr>
          <w:rFonts w:cs="Arial"/>
          <w:szCs w:val="21"/>
        </w:rPr>
        <w:t>[2015]</w:t>
      </w:r>
      <w:r w:rsidRPr="005F6787">
        <w:rPr>
          <w:rFonts w:cs="Arial"/>
          <w:szCs w:val="21"/>
        </w:rPr>
        <w:t>等を参照。</w:t>
      </w:r>
    </w:p>
  </w:footnote>
  <w:footnote w:id="22">
    <w:p w14:paraId="5D595955" w14:textId="77777777" w:rsidR="005916C2" w:rsidRPr="005F6787" w:rsidRDefault="005916C2" w:rsidP="002711B8">
      <w:pPr>
        <w:rPr>
          <w:szCs w:val="21"/>
        </w:rPr>
      </w:pPr>
      <w:r w:rsidRPr="005F6787">
        <w:rPr>
          <w:rStyle w:val="ad"/>
          <w:szCs w:val="21"/>
        </w:rPr>
        <w:footnoteRef/>
      </w:r>
      <w:r w:rsidRPr="005F6787">
        <w:rPr>
          <w:szCs w:val="21"/>
        </w:rPr>
        <w:t xml:space="preserve"> </w:t>
      </w:r>
      <w:r w:rsidRPr="005F6787">
        <w:rPr>
          <w:szCs w:val="21"/>
        </w:rPr>
        <w:t xml:space="preserve">　以上については、差し当たり、舟田</w:t>
      </w:r>
      <w:r w:rsidRPr="005F6787">
        <w:rPr>
          <w:szCs w:val="21"/>
        </w:rPr>
        <w:t>[2017b]</w:t>
      </w:r>
      <w:r w:rsidRPr="005F6787">
        <w:rPr>
          <w:szCs w:val="21"/>
        </w:rPr>
        <w:t>参照。なお、大阪バス協会事件についての引用は、私の立場</w:t>
      </w:r>
      <w:r w:rsidRPr="005F6787">
        <w:rPr>
          <w:szCs w:val="21"/>
        </w:rPr>
        <w:t>(</w:t>
      </w:r>
      <w:r w:rsidRPr="005F6787">
        <w:rPr>
          <w:szCs w:val="21"/>
        </w:rPr>
        <w:t>違法性阻却説</w:t>
      </w:r>
      <w:r w:rsidRPr="005F6787">
        <w:rPr>
          <w:szCs w:val="21"/>
        </w:rPr>
        <w:t>)</w:t>
      </w:r>
      <w:r w:rsidRPr="005F6787">
        <w:rPr>
          <w:szCs w:val="21"/>
        </w:rPr>
        <w:t>からのものである。</w:t>
      </w:r>
    </w:p>
  </w:footnote>
  <w:footnote w:id="23">
    <w:p w14:paraId="47C50485"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基本権保護義務は国家，加害者たる私人・被害者たる私人の三極間の関係として構成され、国家</w:t>
      </w:r>
      <w:r w:rsidRPr="005F6787">
        <w:rPr>
          <w:szCs w:val="21"/>
        </w:rPr>
        <w:t>S</w:t>
      </w:r>
      <w:r w:rsidRPr="005F6787">
        <w:rPr>
          <w:szCs w:val="21"/>
        </w:rPr>
        <w:t>、私人</w:t>
      </w:r>
      <w:r w:rsidRPr="005F6787">
        <w:rPr>
          <w:szCs w:val="21"/>
        </w:rPr>
        <w:t>P1</w:t>
      </w:r>
      <w:r w:rsidRPr="005F6787">
        <w:rPr>
          <w:szCs w:val="21"/>
        </w:rPr>
        <w:t>、</w:t>
      </w:r>
      <w:r w:rsidRPr="005F6787">
        <w:rPr>
          <w:szCs w:val="21"/>
        </w:rPr>
        <w:t>P2</w:t>
      </w:r>
      <w:r w:rsidRPr="005F6787">
        <w:rPr>
          <w:szCs w:val="21"/>
        </w:rPr>
        <w:t>からなる法的三面関係において、</w:t>
      </w:r>
      <w:r w:rsidRPr="005F6787">
        <w:rPr>
          <w:szCs w:val="21"/>
        </w:rPr>
        <w:t>S</w:t>
      </w:r>
      <w:r w:rsidRPr="005F6787">
        <w:rPr>
          <w:szCs w:val="21"/>
        </w:rPr>
        <w:t>は</w:t>
      </w:r>
      <w:r w:rsidRPr="005F6787">
        <w:rPr>
          <w:szCs w:val="21"/>
        </w:rPr>
        <w:t>P1</w:t>
      </w:r>
      <w:r w:rsidRPr="005F6787">
        <w:rPr>
          <w:szCs w:val="21"/>
        </w:rPr>
        <w:t>の侵害から</w:t>
      </w:r>
      <w:r w:rsidRPr="005F6787">
        <w:rPr>
          <w:szCs w:val="21"/>
        </w:rPr>
        <w:t>P2</w:t>
      </w:r>
      <w:r w:rsidRPr="005F6787">
        <w:rPr>
          <w:szCs w:val="21"/>
        </w:rPr>
        <w:t>の基本権を保護すべき義務がある、とする。小山剛</w:t>
      </w:r>
      <w:r w:rsidRPr="005F6787">
        <w:rPr>
          <w:szCs w:val="21"/>
        </w:rPr>
        <w:t>[1990]42</w:t>
      </w:r>
      <w:r w:rsidRPr="005F6787">
        <w:rPr>
          <w:szCs w:val="21"/>
        </w:rPr>
        <w:t>頁、小山剛</w:t>
      </w:r>
      <w:r w:rsidRPr="005F6787">
        <w:rPr>
          <w:szCs w:val="21"/>
        </w:rPr>
        <w:t>[1998]1</w:t>
      </w:r>
      <w:r w:rsidRPr="005F6787">
        <w:rPr>
          <w:szCs w:val="21"/>
        </w:rPr>
        <w:t>頁等のほか、舟田</w:t>
      </w:r>
      <w:r w:rsidRPr="005F6787">
        <w:rPr>
          <w:szCs w:val="21"/>
        </w:rPr>
        <w:t>[2016]180</w:t>
      </w:r>
      <w:r w:rsidRPr="005F6787">
        <w:rPr>
          <w:szCs w:val="21"/>
        </w:rPr>
        <w:t>頁以下を参照。ただし、多くの指摘があるように、このような三極間の関係は、多数説である間接適用説等によっても考慮され得る。</w:t>
      </w:r>
    </w:p>
  </w:footnote>
  <w:footnote w:id="24">
    <w:p w14:paraId="6C4B38B5" w14:textId="77777777" w:rsidR="005916C2" w:rsidRPr="005F6787" w:rsidRDefault="005916C2" w:rsidP="005B1CBA">
      <w:pPr>
        <w:rPr>
          <w:szCs w:val="21"/>
        </w:rPr>
      </w:pPr>
      <w:r w:rsidRPr="005F6787">
        <w:rPr>
          <w:rStyle w:val="ad"/>
          <w:szCs w:val="21"/>
        </w:rPr>
        <w:footnoteRef/>
      </w:r>
      <w:r w:rsidRPr="005F6787">
        <w:rPr>
          <w:szCs w:val="21"/>
        </w:rPr>
        <w:t xml:space="preserve"> </w:t>
      </w:r>
      <w:r w:rsidRPr="005F6787">
        <w:rPr>
          <w:szCs w:val="21"/>
        </w:rPr>
        <w:t>参照、</w:t>
      </w:r>
      <w:r w:rsidRPr="005F6787">
        <w:rPr>
          <w:szCs w:val="21"/>
        </w:rPr>
        <w:t>Langen/Bunte[2014], §19 Rn.1-2</w:t>
      </w:r>
    </w:p>
  </w:footnote>
  <w:footnote w:id="25">
    <w:p w14:paraId="1CCB6228" w14:textId="3F562085" w:rsidR="005916C2" w:rsidRPr="005F6787" w:rsidRDefault="005916C2" w:rsidP="002711B8">
      <w:pPr>
        <w:jc w:val="left"/>
        <w:rPr>
          <w:szCs w:val="21"/>
        </w:rPr>
      </w:pPr>
      <w:r w:rsidRPr="005F6787">
        <w:rPr>
          <w:rStyle w:val="ad"/>
          <w:szCs w:val="21"/>
        </w:rPr>
        <w:footnoteRef/>
      </w:r>
      <w:r w:rsidRPr="005F6787">
        <w:rPr>
          <w:szCs w:val="21"/>
        </w:rPr>
        <w:t xml:space="preserve"> </w:t>
      </w:r>
      <w:r w:rsidRPr="005F6787">
        <w:rPr>
          <w:szCs w:val="21"/>
        </w:rPr>
        <w:t xml:space="preserve">　多くの文献があるが、差し当たり、小山剛</w:t>
      </w:r>
      <w:r w:rsidRPr="005F6787">
        <w:rPr>
          <w:szCs w:val="21"/>
        </w:rPr>
        <w:t>[2004]148</w:t>
      </w:r>
      <w:r w:rsidRPr="005F6787">
        <w:rPr>
          <w:szCs w:val="21"/>
        </w:rPr>
        <w:t>頁以下、</w:t>
      </w:r>
      <w:r w:rsidRPr="005F6787">
        <w:rPr>
          <w:szCs w:val="21"/>
          <w:shd w:val="clear" w:color="auto" w:fill="FFFFFF"/>
        </w:rPr>
        <w:t>國分典子</w:t>
      </w:r>
      <w:r w:rsidRPr="005F6787">
        <w:rPr>
          <w:szCs w:val="21"/>
        </w:rPr>
        <w:t>[2006]</w:t>
      </w:r>
      <w:r w:rsidRPr="005F6787">
        <w:rPr>
          <w:szCs w:val="21"/>
          <w:shd w:val="clear" w:color="auto" w:fill="FFFFFF"/>
        </w:rPr>
        <w:t xml:space="preserve"> </w:t>
      </w:r>
      <w:r w:rsidRPr="005F6787">
        <w:rPr>
          <w:szCs w:val="21"/>
          <w:shd w:val="clear" w:color="auto" w:fill="FFFFFF"/>
        </w:rPr>
        <w:t>、</w:t>
      </w:r>
      <w:r w:rsidRPr="005F6787">
        <w:rPr>
          <w:szCs w:val="21"/>
          <w:lang w:val="x-none" w:eastAsia="x-none"/>
        </w:rPr>
        <w:t>大串</w:t>
      </w:r>
      <w:r w:rsidRPr="005F6787">
        <w:rPr>
          <w:szCs w:val="21"/>
        </w:rPr>
        <w:t>倫一</w:t>
      </w:r>
      <w:r w:rsidRPr="005F6787">
        <w:rPr>
          <w:szCs w:val="21"/>
        </w:rPr>
        <w:t>[2018]</w:t>
      </w:r>
      <w:r w:rsidRPr="005F6787">
        <w:rPr>
          <w:szCs w:val="21"/>
        </w:rPr>
        <w:t>、</w:t>
      </w:r>
      <w:r w:rsidRPr="005F6787">
        <w:rPr>
          <w:szCs w:val="21"/>
          <w:shd w:val="clear" w:color="auto" w:fill="FFFFFF"/>
        </w:rPr>
        <w:t>及び</w:t>
      </w:r>
      <w:r w:rsidRPr="005F6787">
        <w:rPr>
          <w:szCs w:val="21"/>
        </w:rPr>
        <w:t>舟田</w:t>
      </w:r>
      <w:r w:rsidRPr="005F6787">
        <w:rPr>
          <w:szCs w:val="21"/>
        </w:rPr>
        <w:t>[2016]175</w:t>
      </w:r>
      <w:r w:rsidRPr="005F6787">
        <w:rPr>
          <w:szCs w:val="21"/>
        </w:rPr>
        <w:t>頁以下に挙げた文献を参照。それらは主に憲法上の議論であるが、自己決定に関する民法上の議論については、</w:t>
      </w:r>
      <w:r w:rsidRPr="005F6787">
        <w:rPr>
          <w:rFonts w:cs="Arial"/>
          <w:kern w:val="0"/>
          <w:szCs w:val="21"/>
        </w:rPr>
        <w:t>吉村良一</w:t>
      </w:r>
      <w:r w:rsidRPr="005F6787">
        <w:rPr>
          <w:rFonts w:cs="Arial"/>
          <w:kern w:val="0"/>
          <w:szCs w:val="21"/>
        </w:rPr>
        <w:t>[1998]</w:t>
      </w:r>
      <w:r w:rsidRPr="005F6787">
        <w:rPr>
          <w:rFonts w:cs="Arial"/>
          <w:kern w:val="0"/>
          <w:szCs w:val="21"/>
        </w:rPr>
        <w:t>、潮見佳男</w:t>
      </w:r>
      <w:r w:rsidRPr="005F6787">
        <w:rPr>
          <w:rFonts w:cs="Arial"/>
          <w:kern w:val="0"/>
          <w:szCs w:val="21"/>
        </w:rPr>
        <w:t>[2005]</w:t>
      </w:r>
      <w:r w:rsidRPr="005F6787">
        <w:rPr>
          <w:rFonts w:cs="Arial"/>
          <w:kern w:val="0"/>
          <w:szCs w:val="21"/>
        </w:rPr>
        <w:t>等がある。</w:t>
      </w:r>
    </w:p>
  </w:footnote>
  <w:footnote w:id="26">
    <w:p w14:paraId="4181494F" w14:textId="77777777" w:rsidR="005916C2" w:rsidRPr="005F6787" w:rsidRDefault="005916C2" w:rsidP="002711B8">
      <w:pPr>
        <w:pStyle w:val="ab"/>
        <w:rPr>
          <w:szCs w:val="21"/>
        </w:rPr>
      </w:pPr>
      <w:r w:rsidRPr="005F6787">
        <w:rPr>
          <w:rStyle w:val="ad"/>
          <w:szCs w:val="21"/>
        </w:rPr>
        <w:footnoteRef/>
      </w:r>
      <w:r w:rsidRPr="005F6787">
        <w:rPr>
          <w:szCs w:val="21"/>
        </w:rPr>
        <w:t xml:space="preserve"> </w:t>
      </w:r>
      <w:r w:rsidRPr="005F6787">
        <w:rPr>
          <w:szCs w:val="21"/>
        </w:rPr>
        <w:t xml:space="preserve">　差し当たり、笹倉秀夫</w:t>
      </w:r>
      <w:r w:rsidRPr="005F6787">
        <w:rPr>
          <w:szCs w:val="21"/>
        </w:rPr>
        <w:t>[2001]</w:t>
      </w:r>
      <w:r w:rsidRPr="005F6787">
        <w:rPr>
          <w:szCs w:val="21"/>
        </w:rPr>
        <w:t>を参照。</w:t>
      </w:r>
    </w:p>
  </w:footnote>
  <w:footnote w:id="27">
    <w:p w14:paraId="17E63F0F" w14:textId="77777777" w:rsidR="005916C2" w:rsidRPr="005F6787" w:rsidRDefault="005916C2" w:rsidP="000F41D6">
      <w:pPr>
        <w:pStyle w:val="ab"/>
        <w:rPr>
          <w:szCs w:val="21"/>
        </w:rPr>
      </w:pPr>
      <w:r w:rsidRPr="005F6787">
        <w:rPr>
          <w:rStyle w:val="ad"/>
          <w:szCs w:val="21"/>
        </w:rPr>
        <w:footnoteRef/>
      </w:r>
      <w:r w:rsidRPr="005F6787">
        <w:rPr>
          <w:szCs w:val="21"/>
        </w:rPr>
        <w:t xml:space="preserve"> </w:t>
      </w:r>
      <w:r w:rsidRPr="005F6787">
        <w:rPr>
          <w:szCs w:val="21"/>
        </w:rPr>
        <w:t xml:space="preserve">　ホラーバハ</w:t>
      </w:r>
      <w:r w:rsidRPr="005F6787">
        <w:rPr>
          <w:szCs w:val="21"/>
        </w:rPr>
        <w:t>[1997]52</w:t>
      </w:r>
      <w:r w:rsidRPr="005F6787">
        <w:rPr>
          <w:szCs w:val="21"/>
        </w:rPr>
        <w:t>頁。</w:t>
      </w:r>
    </w:p>
  </w:footnote>
  <w:footnote w:id="28">
    <w:p w14:paraId="770DD061" w14:textId="77777777" w:rsidR="005916C2" w:rsidRPr="005F6787" w:rsidRDefault="005916C2" w:rsidP="003605E3">
      <w:pPr>
        <w:rPr>
          <w:szCs w:val="21"/>
        </w:rPr>
      </w:pPr>
      <w:r w:rsidRPr="005F6787">
        <w:rPr>
          <w:rStyle w:val="ad"/>
          <w:szCs w:val="21"/>
        </w:rPr>
        <w:footnoteRef/>
      </w:r>
      <w:r w:rsidRPr="005F6787">
        <w:rPr>
          <w:szCs w:val="21"/>
        </w:rPr>
        <w:t xml:space="preserve"> </w:t>
      </w:r>
      <w:r w:rsidRPr="005F6787">
        <w:rPr>
          <w:szCs w:val="21"/>
        </w:rPr>
        <w:t xml:space="preserve">　参照、</w:t>
      </w:r>
      <w:r w:rsidRPr="005F6787">
        <w:rPr>
          <w:szCs w:val="21"/>
        </w:rPr>
        <w:t>Langen/Bunte[2014], §19,Rn.5</w:t>
      </w:r>
    </w:p>
  </w:footnote>
  <w:footnote w:id="29">
    <w:p w14:paraId="68000056"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山本敬三</w:t>
      </w:r>
      <w:r w:rsidRPr="005F6787">
        <w:rPr>
          <w:szCs w:val="21"/>
        </w:rPr>
        <w:t>[2000]</w:t>
      </w:r>
      <w:r w:rsidRPr="005F6787">
        <w:rPr>
          <w:szCs w:val="21"/>
        </w:rPr>
        <w:t>各所、特に</w:t>
      </w:r>
      <w:r w:rsidRPr="005F6787">
        <w:rPr>
          <w:szCs w:val="21"/>
        </w:rPr>
        <w:t>218</w:t>
      </w:r>
      <w:r w:rsidRPr="005F6787">
        <w:rPr>
          <w:szCs w:val="21"/>
        </w:rPr>
        <w:t>頁以下を参照。</w:t>
      </w:r>
    </w:p>
  </w:footnote>
  <w:footnote w:id="30">
    <w:p w14:paraId="6319E10C" w14:textId="77777777" w:rsidR="005916C2" w:rsidRPr="005F6787" w:rsidRDefault="005916C2" w:rsidP="007C0577">
      <w:pPr>
        <w:pStyle w:val="ab"/>
        <w:rPr>
          <w:szCs w:val="21"/>
        </w:rPr>
      </w:pPr>
      <w:r w:rsidRPr="005F6787">
        <w:rPr>
          <w:rStyle w:val="ad"/>
          <w:szCs w:val="21"/>
        </w:rPr>
        <w:footnoteRef/>
      </w:r>
      <w:r w:rsidRPr="005F6787">
        <w:rPr>
          <w:szCs w:val="21"/>
        </w:rPr>
        <w:t xml:space="preserve"> </w:t>
      </w:r>
      <w:r w:rsidRPr="005F6787">
        <w:rPr>
          <w:szCs w:val="21"/>
        </w:rPr>
        <w:t xml:space="preserve">　渡辺康行</w:t>
      </w:r>
      <w:r w:rsidRPr="005F6787">
        <w:rPr>
          <w:szCs w:val="21"/>
        </w:rPr>
        <w:t>[2003] 18</w:t>
      </w:r>
      <w:r w:rsidRPr="005F6787">
        <w:rPr>
          <w:szCs w:val="21"/>
        </w:rPr>
        <w:t>頁参照。比例原則については更に、須藤陽子</w:t>
      </w:r>
      <w:r w:rsidRPr="005F6787">
        <w:rPr>
          <w:szCs w:val="21"/>
        </w:rPr>
        <w:t>[1990-91]</w:t>
      </w:r>
      <w:r w:rsidRPr="005F6787">
        <w:rPr>
          <w:szCs w:val="21"/>
        </w:rPr>
        <w:t>、須藤陽子</w:t>
      </w:r>
      <w:r w:rsidRPr="005F6787">
        <w:rPr>
          <w:szCs w:val="21"/>
        </w:rPr>
        <w:t>[2000]</w:t>
      </w:r>
      <w:r w:rsidRPr="005F6787">
        <w:rPr>
          <w:szCs w:val="21"/>
        </w:rPr>
        <w:t>、須藤陽子</w:t>
      </w:r>
      <w:r w:rsidRPr="005F6787">
        <w:rPr>
          <w:szCs w:val="21"/>
        </w:rPr>
        <w:t>[2008]</w:t>
      </w:r>
      <w:r w:rsidRPr="005F6787">
        <w:rPr>
          <w:szCs w:val="21"/>
        </w:rPr>
        <w:t>、井上典之</w:t>
      </w:r>
      <w:r w:rsidRPr="005F6787">
        <w:rPr>
          <w:szCs w:val="21"/>
        </w:rPr>
        <w:t>[2011]</w:t>
      </w:r>
      <w:r w:rsidRPr="005F6787">
        <w:rPr>
          <w:szCs w:val="21"/>
        </w:rPr>
        <w:t>等を参照。</w:t>
      </w:r>
    </w:p>
  </w:footnote>
  <w:footnote w:id="31">
    <w:p w14:paraId="72DB6239" w14:textId="77777777" w:rsidR="005916C2" w:rsidRPr="005F6787" w:rsidRDefault="005916C2" w:rsidP="00F077AD">
      <w:pPr>
        <w:jc w:val="left"/>
        <w:rPr>
          <w:szCs w:val="21"/>
        </w:rPr>
      </w:pPr>
      <w:r w:rsidRPr="005F6787">
        <w:rPr>
          <w:rStyle w:val="ad"/>
          <w:szCs w:val="21"/>
        </w:rPr>
        <w:footnoteRef/>
      </w:r>
      <w:r w:rsidRPr="005F6787">
        <w:rPr>
          <w:szCs w:val="21"/>
        </w:rPr>
        <w:t xml:space="preserve"> </w:t>
      </w:r>
      <w:r w:rsidRPr="005F6787">
        <w:rPr>
          <w:szCs w:val="21"/>
        </w:rPr>
        <w:t xml:space="preserve">　松原光宏</w:t>
      </w:r>
      <w:r w:rsidRPr="005F6787">
        <w:rPr>
          <w:szCs w:val="21"/>
        </w:rPr>
        <w:t>[2001-03](</w:t>
      </w:r>
      <w:r w:rsidRPr="005F6787">
        <w:rPr>
          <w:szCs w:val="21"/>
        </w:rPr>
        <w:t>一</w:t>
      </w:r>
      <w:r w:rsidRPr="005F6787">
        <w:rPr>
          <w:szCs w:val="21"/>
        </w:rPr>
        <w:t>)18</w:t>
      </w:r>
      <w:r w:rsidRPr="005F6787">
        <w:rPr>
          <w:szCs w:val="21"/>
        </w:rPr>
        <w:t>頁、及びそこに引用されている諸文献を参照。</w:t>
      </w:r>
    </w:p>
  </w:footnote>
  <w:footnote w:id="32">
    <w:p w14:paraId="65540EE1" w14:textId="77777777" w:rsidR="005916C2" w:rsidRPr="005F6787" w:rsidRDefault="005916C2" w:rsidP="002711B8">
      <w:pPr>
        <w:jc w:val="left"/>
        <w:rPr>
          <w:szCs w:val="21"/>
        </w:rPr>
      </w:pPr>
      <w:r w:rsidRPr="005F6787">
        <w:rPr>
          <w:rStyle w:val="ad"/>
          <w:szCs w:val="21"/>
        </w:rPr>
        <w:footnoteRef/>
      </w:r>
      <w:r w:rsidRPr="005F6787">
        <w:rPr>
          <w:szCs w:val="21"/>
        </w:rPr>
        <w:t xml:space="preserve"> </w:t>
      </w:r>
      <w:r w:rsidRPr="005F6787">
        <w:rPr>
          <w:szCs w:val="21"/>
        </w:rPr>
        <w:t xml:space="preserve">　舟田</w:t>
      </w:r>
      <w:r w:rsidRPr="005F6787">
        <w:rPr>
          <w:szCs w:val="21"/>
        </w:rPr>
        <w:t>[2016]</w:t>
      </w:r>
      <w:r w:rsidRPr="005F6787">
        <w:rPr>
          <w:szCs w:val="21"/>
        </w:rPr>
        <w:t>参照。なお、「私法の憲法化」という表現については、カナーリス</w:t>
      </w:r>
      <w:r w:rsidRPr="005F6787">
        <w:rPr>
          <w:szCs w:val="21"/>
        </w:rPr>
        <w:t>[1998]2</w:t>
      </w:r>
      <w:r w:rsidRPr="005F6787">
        <w:rPr>
          <w:szCs w:val="21"/>
        </w:rPr>
        <w:t>頁参照。</w:t>
      </w:r>
    </w:p>
  </w:footnote>
  <w:footnote w:id="33">
    <w:p w14:paraId="64CBB669" w14:textId="77777777" w:rsidR="005916C2" w:rsidRPr="005F6787" w:rsidRDefault="005916C2" w:rsidP="00EC530D">
      <w:pPr>
        <w:pStyle w:val="ab"/>
        <w:rPr>
          <w:szCs w:val="21"/>
        </w:rPr>
      </w:pPr>
      <w:r w:rsidRPr="005F6787">
        <w:rPr>
          <w:rStyle w:val="ad"/>
          <w:szCs w:val="21"/>
        </w:rPr>
        <w:footnoteRef/>
      </w:r>
      <w:r w:rsidRPr="005F6787">
        <w:rPr>
          <w:szCs w:val="21"/>
        </w:rPr>
        <w:t xml:space="preserve"> </w:t>
      </w:r>
      <w:r w:rsidRPr="005F6787">
        <w:rPr>
          <w:szCs w:val="21"/>
        </w:rPr>
        <w:t xml:space="preserve">　多くの議論があるが、差し当たり青谷和夫</w:t>
      </w:r>
      <w:r w:rsidRPr="005F6787">
        <w:rPr>
          <w:szCs w:val="21"/>
        </w:rPr>
        <w:t>[1985]</w:t>
      </w:r>
      <w:r w:rsidRPr="005F6787">
        <w:rPr>
          <w:szCs w:val="21"/>
        </w:rPr>
        <w:t>、プレルス</w:t>
      </w:r>
      <w:r w:rsidRPr="005F6787">
        <w:rPr>
          <w:szCs w:val="21"/>
        </w:rPr>
        <w:t>[2011]</w:t>
      </w:r>
      <w:r w:rsidRPr="005F6787">
        <w:rPr>
          <w:szCs w:val="21"/>
        </w:rPr>
        <w:t>等を参照。</w:t>
      </w:r>
    </w:p>
  </w:footnote>
  <w:footnote w:id="34">
    <w:p w14:paraId="7621D0D4" w14:textId="77777777" w:rsidR="005916C2" w:rsidRPr="005F6787" w:rsidRDefault="005916C2" w:rsidP="002711B8">
      <w:pPr>
        <w:pStyle w:val="ab"/>
        <w:rPr>
          <w:szCs w:val="21"/>
        </w:rPr>
      </w:pPr>
      <w:r w:rsidRPr="005F6787">
        <w:rPr>
          <w:rStyle w:val="ad"/>
          <w:szCs w:val="21"/>
        </w:rPr>
        <w:footnoteRef/>
      </w:r>
      <w:r w:rsidRPr="005F6787">
        <w:rPr>
          <w:szCs w:val="21"/>
        </w:rPr>
        <w:t xml:space="preserve">  </w:t>
      </w:r>
      <w:r w:rsidRPr="005F6787">
        <w:rPr>
          <w:szCs w:val="21"/>
        </w:rPr>
        <w:t>笹倉秀夫</w:t>
      </w:r>
      <w:r w:rsidRPr="005F6787">
        <w:rPr>
          <w:szCs w:val="21"/>
        </w:rPr>
        <w:t>[2001]15</w:t>
      </w:r>
      <w:r w:rsidRPr="005F6787">
        <w:rPr>
          <w:szCs w:val="21"/>
        </w:rPr>
        <w:t>頁。</w:t>
      </w:r>
    </w:p>
  </w:footnote>
  <w:footnote w:id="35">
    <w:p w14:paraId="0A554A6F" w14:textId="77777777" w:rsidR="005916C2" w:rsidRPr="005F6787" w:rsidRDefault="005916C2" w:rsidP="00FF09D0">
      <w:pPr>
        <w:rPr>
          <w:szCs w:val="21"/>
        </w:rPr>
      </w:pPr>
      <w:r w:rsidRPr="005F6787">
        <w:rPr>
          <w:rStyle w:val="ad"/>
          <w:szCs w:val="21"/>
        </w:rPr>
        <w:footnoteRef/>
      </w:r>
      <w:r w:rsidRPr="005F6787">
        <w:rPr>
          <w:szCs w:val="21"/>
        </w:rPr>
        <w:t xml:space="preserve"> </w:t>
      </w:r>
      <w:r w:rsidRPr="005F6787">
        <w:rPr>
          <w:szCs w:val="21"/>
        </w:rPr>
        <w:t xml:space="preserve">　河上正二</w:t>
      </w:r>
      <w:r w:rsidRPr="005F6787">
        <w:rPr>
          <w:szCs w:val="21"/>
        </w:rPr>
        <w:t>[1988] 249</w:t>
      </w:r>
      <w:r w:rsidRPr="005F6787">
        <w:rPr>
          <w:szCs w:val="21"/>
        </w:rPr>
        <w:t>頁、大村敦志</w:t>
      </w:r>
      <w:r w:rsidRPr="005F6787">
        <w:rPr>
          <w:szCs w:val="21"/>
        </w:rPr>
        <w:t>[1995]349</w:t>
      </w:r>
      <w:r w:rsidRPr="005F6787">
        <w:rPr>
          <w:szCs w:val="21"/>
        </w:rPr>
        <w:t>頁以下、山本豊</w:t>
      </w:r>
      <w:r w:rsidRPr="005F6787">
        <w:rPr>
          <w:szCs w:val="21"/>
        </w:rPr>
        <w:t>[1997]</w:t>
      </w:r>
      <w:r w:rsidRPr="005F6787">
        <w:rPr>
          <w:szCs w:val="21"/>
        </w:rPr>
        <w:t>、山本豊</w:t>
      </w:r>
      <w:r w:rsidRPr="005F6787">
        <w:rPr>
          <w:szCs w:val="21"/>
        </w:rPr>
        <w:t>[1998]</w:t>
      </w:r>
      <w:r w:rsidRPr="005F6787">
        <w:rPr>
          <w:szCs w:val="21"/>
        </w:rPr>
        <w:t>、韓都律</w:t>
      </w:r>
      <w:r w:rsidRPr="005F6787">
        <w:rPr>
          <w:szCs w:val="21"/>
        </w:rPr>
        <w:t>[2012](2)420</w:t>
      </w:r>
      <w:r w:rsidRPr="005F6787">
        <w:rPr>
          <w:szCs w:val="21"/>
        </w:rPr>
        <w:t>頁以下、大澤彩</w:t>
      </w:r>
      <w:r w:rsidRPr="005F6787">
        <w:rPr>
          <w:szCs w:val="21"/>
        </w:rPr>
        <w:t>[2011]16</w:t>
      </w:r>
      <w:r w:rsidRPr="005F6787">
        <w:rPr>
          <w:szCs w:val="21"/>
        </w:rPr>
        <w:t>頁等、丸山絵美子</w:t>
      </w:r>
      <w:r w:rsidRPr="005F6787">
        <w:rPr>
          <w:szCs w:val="21"/>
        </w:rPr>
        <w:t>[2015]179</w:t>
      </w:r>
      <w:r w:rsidRPr="005F6787">
        <w:rPr>
          <w:szCs w:val="21"/>
        </w:rPr>
        <w:t>頁、舟田</w:t>
      </w:r>
      <w:r w:rsidRPr="005F6787">
        <w:rPr>
          <w:szCs w:val="21"/>
        </w:rPr>
        <w:t>[2009]</w:t>
      </w:r>
      <w:r w:rsidRPr="005F6787">
        <w:rPr>
          <w:rFonts w:cs="Arial"/>
          <w:szCs w:val="21"/>
        </w:rPr>
        <w:t xml:space="preserve"> 246</w:t>
      </w:r>
      <w:r w:rsidRPr="005F6787">
        <w:rPr>
          <w:rFonts w:cs="Arial"/>
          <w:szCs w:val="21"/>
        </w:rPr>
        <w:t>頁以下</w:t>
      </w:r>
      <w:r w:rsidRPr="005F6787">
        <w:rPr>
          <w:szCs w:val="21"/>
        </w:rPr>
        <w:t>等、を参照。</w:t>
      </w:r>
    </w:p>
  </w:footnote>
  <w:footnote w:id="36">
    <w:p w14:paraId="051529B8" w14:textId="77777777" w:rsidR="005916C2" w:rsidRPr="005F6787" w:rsidRDefault="005916C2" w:rsidP="000F41D6">
      <w:pPr>
        <w:rPr>
          <w:szCs w:val="21"/>
        </w:rPr>
      </w:pPr>
      <w:r w:rsidRPr="005F6787">
        <w:rPr>
          <w:rStyle w:val="ad"/>
          <w:szCs w:val="21"/>
        </w:rPr>
        <w:footnoteRef/>
      </w:r>
      <w:r w:rsidRPr="005F6787">
        <w:rPr>
          <w:szCs w:val="21"/>
        </w:rPr>
        <w:t xml:space="preserve"> </w:t>
      </w:r>
      <w:r w:rsidRPr="005F6787">
        <w:rPr>
          <w:szCs w:val="21"/>
        </w:rPr>
        <w:t xml:space="preserve">　</w:t>
      </w:r>
      <w:r w:rsidRPr="005F6787">
        <w:rPr>
          <w:rFonts w:cs="ＭＳ Ｐゴシック"/>
          <w:szCs w:val="21"/>
        </w:rPr>
        <w:t>「</w:t>
      </w:r>
      <w:r w:rsidRPr="005F6787">
        <w:rPr>
          <w:szCs w:val="21"/>
        </w:rPr>
        <w:t>ドイツの暴利行為論は対価という契約の中心部分について認められており」、これに対し、「従来の日本における暴利行為論の中で、特に主観的要件推定型や客観単独型が契約の付随部分に関する暴利に認められてきた」（堀川信一</w:t>
      </w:r>
      <w:r w:rsidRPr="005F6787">
        <w:rPr>
          <w:szCs w:val="21"/>
        </w:rPr>
        <w:t>[2009]342</w:t>
      </w:r>
      <w:r w:rsidRPr="005F6787">
        <w:rPr>
          <w:szCs w:val="21"/>
        </w:rPr>
        <w:t>頁）。</w:t>
      </w:r>
    </w:p>
  </w:footnote>
  <w:footnote w:id="37">
    <w:p w14:paraId="17EE1D76" w14:textId="77777777" w:rsidR="005916C2" w:rsidRPr="005F6787" w:rsidRDefault="005916C2" w:rsidP="002711B8">
      <w:pPr>
        <w:rPr>
          <w:szCs w:val="21"/>
        </w:rPr>
      </w:pPr>
      <w:r w:rsidRPr="005F6787">
        <w:rPr>
          <w:rStyle w:val="ad"/>
          <w:szCs w:val="21"/>
        </w:rPr>
        <w:footnoteRef/>
      </w:r>
      <w:r w:rsidRPr="005F6787">
        <w:rPr>
          <w:szCs w:val="21"/>
        </w:rPr>
        <w:t xml:space="preserve">  </w:t>
      </w:r>
      <w:r w:rsidRPr="005F6787">
        <w:rPr>
          <w:szCs w:val="21"/>
        </w:rPr>
        <w:t>参照、</w:t>
      </w:r>
      <w:r w:rsidRPr="005F6787">
        <w:rPr>
          <w:szCs w:val="21"/>
        </w:rPr>
        <w:t>Emmerich[2014] S.325</w:t>
      </w:r>
    </w:p>
  </w:footnote>
  <w:footnote w:id="38">
    <w:p w14:paraId="70E406F0" w14:textId="6B617561" w:rsidR="005916C2" w:rsidRPr="005F6787" w:rsidRDefault="005916C2" w:rsidP="006250D8">
      <w:pPr>
        <w:jc w:val="left"/>
        <w:rPr>
          <w:szCs w:val="21"/>
        </w:rPr>
      </w:pPr>
      <w:r w:rsidRPr="005F6787">
        <w:rPr>
          <w:rStyle w:val="ad"/>
          <w:szCs w:val="21"/>
        </w:rPr>
        <w:footnoteRef/>
      </w:r>
      <w:r w:rsidRPr="005F6787">
        <w:rPr>
          <w:szCs w:val="21"/>
        </w:rPr>
        <w:t xml:space="preserve">  BVerfGE65,1(</w:t>
      </w:r>
      <w:hyperlink r:id="rId4" w:history="1">
        <w:r w:rsidRPr="005F6787">
          <w:rPr>
            <w:rStyle w:val="a3"/>
            <w:color w:val="auto"/>
            <w:szCs w:val="21"/>
          </w:rPr>
          <w:t>http://www.servat.unibe.ch/dfr/bv065001.html</w:t>
        </w:r>
      </w:hyperlink>
      <w:r w:rsidRPr="005F6787">
        <w:rPr>
          <w:szCs w:val="21"/>
        </w:rPr>
        <w:t xml:space="preserve">) </w:t>
      </w:r>
      <w:r w:rsidRPr="005F6787">
        <w:rPr>
          <w:szCs w:val="21"/>
        </w:rPr>
        <w:t>本判決については、鈴木庸夫＝藤原靜雄</w:t>
      </w:r>
      <w:r w:rsidRPr="005F6787">
        <w:rPr>
          <w:szCs w:val="21"/>
        </w:rPr>
        <w:t>[1984]</w:t>
      </w:r>
      <w:r w:rsidRPr="005F6787">
        <w:rPr>
          <w:szCs w:val="21"/>
        </w:rPr>
        <w:t>、藤原靜雄</w:t>
      </w:r>
      <w:r w:rsidRPr="005F6787">
        <w:rPr>
          <w:szCs w:val="21"/>
        </w:rPr>
        <w:t>[1985]</w:t>
      </w:r>
      <w:r w:rsidRPr="005F6787">
        <w:rPr>
          <w:szCs w:val="21"/>
        </w:rPr>
        <w:t>、平松毅</w:t>
      </w:r>
      <w:r w:rsidRPr="005F6787">
        <w:rPr>
          <w:szCs w:val="21"/>
        </w:rPr>
        <w:t>[1996]</w:t>
      </w:r>
      <w:r w:rsidRPr="005F6787">
        <w:rPr>
          <w:szCs w:val="21"/>
        </w:rPr>
        <w:t>、ホラーバハ</w:t>
      </w:r>
      <w:r w:rsidRPr="005F6787">
        <w:rPr>
          <w:szCs w:val="21"/>
        </w:rPr>
        <w:t>[1997]51</w:t>
      </w:r>
      <w:r w:rsidRPr="005F6787">
        <w:rPr>
          <w:szCs w:val="21"/>
        </w:rPr>
        <w:t>頁以下、玉蟲由樹</w:t>
      </w:r>
      <w:r w:rsidRPr="005F6787">
        <w:rPr>
          <w:szCs w:val="21"/>
        </w:rPr>
        <w:t>[1998]</w:t>
      </w:r>
      <w:r w:rsidRPr="005F6787">
        <w:rPr>
          <w:szCs w:val="21"/>
        </w:rPr>
        <w:t>、</w:t>
      </w:r>
      <w:bookmarkStart w:id="11" w:name="_Hlk58747545"/>
      <w:r w:rsidRPr="005F6787">
        <w:rPr>
          <w:rFonts w:eastAsia="ＭＳ 明朝"/>
        </w:rPr>
        <w:t>松本和彦</w:t>
      </w:r>
      <w:r w:rsidRPr="005F6787">
        <w:rPr>
          <w:rFonts w:eastAsia="ＭＳ 明朝"/>
        </w:rPr>
        <w:t>[2001]</w:t>
      </w:r>
      <w:r w:rsidRPr="005F6787">
        <w:rPr>
          <w:rFonts w:eastAsia="ＭＳ 明朝"/>
        </w:rPr>
        <w:t>、</w:t>
      </w:r>
      <w:bookmarkEnd w:id="11"/>
      <w:r w:rsidRPr="005F6787">
        <w:rPr>
          <w:szCs w:val="21"/>
        </w:rPr>
        <w:t>小山剛</w:t>
      </w:r>
      <w:r w:rsidRPr="005F6787">
        <w:rPr>
          <w:szCs w:val="21"/>
        </w:rPr>
        <w:t>[2010]</w:t>
      </w:r>
      <w:r w:rsidRPr="005F6787">
        <w:rPr>
          <w:szCs w:val="21"/>
        </w:rPr>
        <w:t>、</w:t>
      </w:r>
      <w:bookmarkStart w:id="12" w:name="_Hlk56375370"/>
      <w:bookmarkStart w:id="13" w:name="_Hlk58747558"/>
      <w:r w:rsidRPr="005F6787">
        <w:rPr>
          <w:rFonts w:eastAsia="ＭＳ 明朝"/>
        </w:rPr>
        <w:t>小山剛</w:t>
      </w:r>
      <w:r w:rsidRPr="005F6787">
        <w:rPr>
          <w:rFonts w:eastAsia="ＭＳ 明朝"/>
        </w:rPr>
        <w:t>[2015]</w:t>
      </w:r>
      <w:bookmarkEnd w:id="12"/>
      <w:r w:rsidRPr="005F6787">
        <w:rPr>
          <w:rFonts w:eastAsia="ＭＳ 明朝"/>
        </w:rPr>
        <w:t>、</w:t>
      </w:r>
      <w:r w:rsidRPr="005F6787">
        <w:rPr>
          <w:szCs w:val="21"/>
        </w:rPr>
        <w:t>小山剛</w:t>
      </w:r>
      <w:r w:rsidRPr="005F6787">
        <w:rPr>
          <w:szCs w:val="21"/>
        </w:rPr>
        <w:t>[2016]</w:t>
      </w:r>
      <w:r w:rsidRPr="005F6787">
        <w:rPr>
          <w:szCs w:val="21"/>
        </w:rPr>
        <w:t>、高橋和広</w:t>
      </w:r>
      <w:r w:rsidRPr="005F6787">
        <w:rPr>
          <w:szCs w:val="21"/>
        </w:rPr>
        <w:t>[2012]</w:t>
      </w:r>
      <w:r w:rsidRPr="005F6787">
        <w:rPr>
          <w:szCs w:val="21"/>
        </w:rPr>
        <w:t>、高橋和広</w:t>
      </w:r>
      <w:r w:rsidRPr="005F6787">
        <w:rPr>
          <w:szCs w:val="21"/>
        </w:rPr>
        <w:t>[2013]</w:t>
      </w:r>
      <w:r w:rsidRPr="005F6787">
        <w:rPr>
          <w:szCs w:val="21"/>
        </w:rPr>
        <w:t>、</w:t>
      </w:r>
      <w:bookmarkEnd w:id="13"/>
      <w:r w:rsidRPr="005F6787">
        <w:rPr>
          <w:szCs w:val="21"/>
        </w:rPr>
        <w:t>高橋和広</w:t>
      </w:r>
      <w:r w:rsidRPr="005F6787">
        <w:rPr>
          <w:szCs w:val="21"/>
        </w:rPr>
        <w:t>[2014]</w:t>
      </w:r>
      <w:bookmarkStart w:id="14" w:name="_Hlk58747571"/>
      <w:r w:rsidRPr="005F6787">
        <w:rPr>
          <w:szCs w:val="21"/>
        </w:rPr>
        <w:t>、</w:t>
      </w:r>
      <w:r w:rsidRPr="005F6787">
        <w:rPr>
          <w:rFonts w:eastAsia="ＭＳ 明朝"/>
        </w:rPr>
        <w:t>山田哲史</w:t>
      </w:r>
      <w:r w:rsidRPr="005F6787">
        <w:rPr>
          <w:rFonts w:eastAsia="ＭＳ 明朝"/>
        </w:rPr>
        <w:t>[2019]</w:t>
      </w:r>
      <w:bookmarkEnd w:id="14"/>
      <w:r w:rsidRPr="005F6787">
        <w:rPr>
          <w:szCs w:val="21"/>
        </w:rPr>
        <w:t>等を参照。</w:t>
      </w:r>
    </w:p>
    <w:p w14:paraId="2DCE6E02" w14:textId="02801C82" w:rsidR="005916C2" w:rsidRPr="005F6787" w:rsidRDefault="005916C2" w:rsidP="006250D8">
      <w:pPr>
        <w:ind w:firstLineChars="100" w:firstLine="210"/>
        <w:jc w:val="left"/>
        <w:rPr>
          <w:szCs w:val="21"/>
        </w:rPr>
      </w:pPr>
      <w:bookmarkStart w:id="15" w:name="_Hlk58747613"/>
      <w:r w:rsidRPr="005F6787">
        <w:rPr>
          <w:szCs w:val="21"/>
        </w:rPr>
        <w:t>同判決は、一般的人格権の中には、「自己決定の思想から尊かれる個人の権能があり，そこには，個人が自己の生活実情をいつ，いかなる範囲において開示するかについて，原則として自ら決定する権能」も含まれると述べた。</w:t>
      </w:r>
    </w:p>
    <w:p w14:paraId="24ECF263" w14:textId="5866CFA7" w:rsidR="005916C2" w:rsidRPr="005F6787" w:rsidRDefault="005916C2" w:rsidP="006250D8">
      <w:pPr>
        <w:ind w:firstLineChars="100" w:firstLine="210"/>
        <w:jc w:val="left"/>
        <w:rPr>
          <w:szCs w:val="21"/>
        </w:rPr>
      </w:pPr>
      <w:r w:rsidRPr="005F6787">
        <w:rPr>
          <w:szCs w:val="21"/>
        </w:rPr>
        <w:t>小山剛</w:t>
      </w:r>
      <w:r w:rsidRPr="005F6787">
        <w:rPr>
          <w:szCs w:val="21"/>
        </w:rPr>
        <w:t>[2016]101</w:t>
      </w:r>
      <w:r w:rsidRPr="005F6787">
        <w:rPr>
          <w:szCs w:val="21"/>
        </w:rPr>
        <w:t>頁は、この情報自己決定権を「自己情報コントロール権の意義を活かしつつ、その短所を補うものとして注目される」とし、</w:t>
      </w:r>
      <w:r w:rsidRPr="005F6787">
        <w:rPr>
          <w:rFonts w:ascii="ＭＳ 明朝" w:eastAsia="ＭＳ 明朝" w:hAnsi="ＭＳ 明朝" w:cs="ＭＳ 明朝" w:hint="eastAsia"/>
          <w:szCs w:val="21"/>
        </w:rPr>
        <w:t>①</w:t>
      </w:r>
      <w:r w:rsidRPr="005F6787">
        <w:rPr>
          <w:szCs w:val="21"/>
        </w:rPr>
        <w:t>古典的プライバシー権（要秘匿性が高い私的領域の保護）とは別に、私的領域の保護に直接はかかわらない個人情報の収集・保存・結合・利用の問題に特化されている、</w:t>
      </w:r>
      <w:r w:rsidRPr="005F6787">
        <w:rPr>
          <w:rFonts w:ascii="ＭＳ 明朝" w:eastAsia="ＭＳ 明朝" w:hAnsi="ＭＳ 明朝" w:cs="ＭＳ 明朝" w:hint="eastAsia"/>
          <w:szCs w:val="21"/>
        </w:rPr>
        <w:t>②</w:t>
      </w:r>
      <w:r w:rsidRPr="005F6787">
        <w:rPr>
          <w:szCs w:val="21"/>
        </w:rPr>
        <w:t>自己情報コントロール権が積極的権利を含むのに対し、情報自己決定権は、防御権に限定されている、と説く。</w:t>
      </w:r>
    </w:p>
    <w:p w14:paraId="3B632606" w14:textId="7B391620" w:rsidR="005916C2" w:rsidRPr="005F6787" w:rsidRDefault="005916C2" w:rsidP="006E78FC">
      <w:pPr>
        <w:jc w:val="left"/>
        <w:rPr>
          <w:szCs w:val="21"/>
        </w:rPr>
      </w:pPr>
      <w:r w:rsidRPr="005F6787">
        <w:rPr>
          <w:szCs w:val="21"/>
        </w:rPr>
        <w:t xml:space="preserve">　ドイツ憲法の有力説である「領域理論」は，個人の生活領域を</w:t>
      </w:r>
      <w:r w:rsidRPr="005F6787">
        <w:rPr>
          <w:szCs w:val="21"/>
        </w:rPr>
        <w:t>3</w:t>
      </w:r>
      <w:r w:rsidRPr="005F6787">
        <w:rPr>
          <w:szCs w:val="21"/>
        </w:rPr>
        <w:t>つに分け、</w:t>
      </w:r>
      <w:r w:rsidRPr="005F6787">
        <w:rPr>
          <w:rFonts w:ascii="ＭＳ 明朝" w:eastAsia="ＭＳ 明朝" w:hAnsi="ＭＳ 明朝" w:cs="ＭＳ 明朝" w:hint="eastAsia"/>
          <w:szCs w:val="21"/>
        </w:rPr>
        <w:t>①</w:t>
      </w:r>
      <w:r w:rsidRPr="005F6787">
        <w:rPr>
          <w:szCs w:val="21"/>
        </w:rPr>
        <w:t>核心領域・内密領域を絶対的に保障し，</w:t>
      </w:r>
      <w:r w:rsidRPr="005F6787">
        <w:rPr>
          <w:rFonts w:ascii="ＭＳ 明朝" w:eastAsia="ＭＳ 明朝" w:hAnsi="ＭＳ 明朝" w:cs="ＭＳ 明朝" w:hint="eastAsia"/>
          <w:szCs w:val="21"/>
        </w:rPr>
        <w:t>②</w:t>
      </w:r>
      <w:r w:rsidRPr="005F6787">
        <w:rPr>
          <w:szCs w:val="21"/>
        </w:rPr>
        <w:t>私的領域にも比例原則を通じて十分な保護を与え，</w:t>
      </w:r>
      <w:r w:rsidRPr="005F6787">
        <w:rPr>
          <w:rFonts w:ascii="ＭＳ 明朝" w:eastAsia="ＭＳ 明朝" w:hAnsi="ＭＳ 明朝" w:cs="ＭＳ 明朝" w:hint="eastAsia"/>
          <w:szCs w:val="21"/>
        </w:rPr>
        <w:t>③</w:t>
      </w:r>
      <w:r w:rsidRPr="005F6787">
        <w:rPr>
          <w:szCs w:val="21"/>
        </w:rPr>
        <w:t>社会的領域では公共の福祉を優先させる、という区別を設ける。本事件で問題とされたのは、名前，住所，家族構成，住居の利用状況などであり、これらは、前記の</w:t>
      </w:r>
      <w:r w:rsidRPr="005F6787">
        <w:rPr>
          <w:szCs w:val="21"/>
        </w:rPr>
        <w:t>3</w:t>
      </w:r>
      <w:r w:rsidRPr="005F6787">
        <w:rPr>
          <w:szCs w:val="21"/>
        </w:rPr>
        <w:t>種類のうちの私的領域に入るのか社会的領域に入るのか定かでないという批判はありながら、核心領域・内密領域ではないことは明白であり、この点で古典的プライバシー権の保護対象と異なる。判例の力点は「私生活の内密性の保渡」から「自律的決定の保護」へと移ってきている、と説かれている。</w:t>
      </w:r>
    </w:p>
    <w:p w14:paraId="407C969B" w14:textId="53D1688E" w:rsidR="005916C2" w:rsidRPr="005F6787" w:rsidRDefault="005916C2" w:rsidP="00155D6B">
      <w:pPr>
        <w:ind w:firstLineChars="100" w:firstLine="210"/>
        <w:rPr>
          <w:szCs w:val="21"/>
        </w:rPr>
      </w:pPr>
      <w:r w:rsidRPr="005F6787">
        <w:rPr>
          <w:szCs w:val="21"/>
        </w:rPr>
        <w:t>また、本判決には、「自動データ処理の可能性と危険性が個人データの保護の必要性を認識せしめた」という認識が基礎にある。自動データ処理によって、特定の，あるいは特定可能な，</w:t>
      </w:r>
      <w:r w:rsidRPr="005F6787">
        <w:rPr>
          <w:szCs w:val="21"/>
        </w:rPr>
        <w:t xml:space="preserve"> </w:t>
      </w:r>
      <w:r w:rsidRPr="005F6787">
        <w:rPr>
          <w:szCs w:val="21"/>
        </w:rPr>
        <w:t>個人の人的・物的諸関係に関する個々の情報（個人関連データ）を技術的に無制限に貯蔵し，距離に関係なくいつでも瞬時に取り出すことができるようになった。さらに、統合情報システムが構築された場合は，この個人関連データと他のデータ集積体を結合することによって，部分的あるいは完全な人物像を作り上げることも可能になる。しかも，当該個人はその正確さや利用を十分にコントロールすることができない。</w:t>
      </w:r>
    </w:p>
    <w:p w14:paraId="0A1C2EB2" w14:textId="41069A8C" w:rsidR="005916C2" w:rsidRPr="005F6787" w:rsidRDefault="005916C2" w:rsidP="006E78FC">
      <w:pPr>
        <w:ind w:firstLineChars="100" w:firstLine="210"/>
        <w:rPr>
          <w:szCs w:val="21"/>
        </w:rPr>
      </w:pPr>
      <w:r w:rsidRPr="005F6787">
        <w:rPr>
          <w:szCs w:val="21"/>
        </w:rPr>
        <w:t>これらから、本判決は、本稿で取り上げたフェイスブック事件のような、今日のデジタルプラットフォームによる「自動データ処理」と個人の情報自己決定権の関係にも及ぶ理論的可能性を示していると考えられる。</w:t>
      </w:r>
    </w:p>
    <w:bookmarkEnd w:id="15"/>
  </w:footnote>
  <w:footnote w:id="39">
    <w:p w14:paraId="76380760" w14:textId="14CB2BDF" w:rsidR="005916C2" w:rsidRPr="005F6787" w:rsidRDefault="005916C2" w:rsidP="00F60238">
      <w:pPr>
        <w:pStyle w:val="ab"/>
        <w:rPr>
          <w:szCs w:val="21"/>
        </w:rPr>
      </w:pPr>
      <w:r w:rsidRPr="005F6787">
        <w:rPr>
          <w:rStyle w:val="ad"/>
          <w:szCs w:val="21"/>
        </w:rPr>
        <w:footnoteRef/>
      </w:r>
      <w:r w:rsidRPr="005F6787">
        <w:rPr>
          <w:szCs w:val="21"/>
          <w:lang w:eastAsia="zh-CN"/>
        </w:rPr>
        <w:t xml:space="preserve"> </w:t>
      </w:r>
      <w:r w:rsidRPr="005F6787">
        <w:rPr>
          <w:szCs w:val="21"/>
          <w:lang w:eastAsia="zh-CN"/>
        </w:rPr>
        <w:t xml:space="preserve">　藤原靜雄</w:t>
      </w:r>
      <w:r w:rsidRPr="005F6787">
        <w:rPr>
          <w:szCs w:val="21"/>
          <w:lang w:eastAsia="zh-CN"/>
        </w:rPr>
        <w:t>[1985]737</w:t>
      </w:r>
      <w:r w:rsidRPr="005F6787">
        <w:rPr>
          <w:szCs w:val="21"/>
          <w:lang w:eastAsia="zh-CN"/>
        </w:rPr>
        <w:t>頁以下、玉蟲由樹</w:t>
      </w:r>
      <w:r w:rsidRPr="005F6787">
        <w:rPr>
          <w:szCs w:val="21"/>
          <w:lang w:eastAsia="zh-CN"/>
        </w:rPr>
        <w:t>[1998]160</w:t>
      </w:r>
      <w:r w:rsidRPr="005F6787">
        <w:rPr>
          <w:szCs w:val="21"/>
          <w:lang w:eastAsia="zh-CN"/>
        </w:rPr>
        <w:t>頁以下参照。</w:t>
      </w:r>
      <w:r w:rsidRPr="005F6787">
        <w:rPr>
          <w:szCs w:val="21"/>
        </w:rPr>
        <w:t>これと並んで、前注</w:t>
      </w:r>
      <w:r w:rsidRPr="005F6787">
        <w:rPr>
          <w:szCs w:val="21"/>
        </w:rPr>
        <w:t>23</w:t>
      </w:r>
      <w:r w:rsidRPr="005F6787">
        <w:rPr>
          <w:szCs w:val="21"/>
        </w:rPr>
        <w:t>に挙げた基本権保護義務説も有力に説かれている。</w:t>
      </w:r>
    </w:p>
  </w:footnote>
  <w:footnote w:id="40">
    <w:p w14:paraId="5E7FEE3A" w14:textId="5019E68A" w:rsidR="005916C2" w:rsidRPr="005F6787" w:rsidRDefault="005916C2" w:rsidP="0057676D">
      <w:pPr>
        <w:rPr>
          <w:szCs w:val="21"/>
        </w:rPr>
      </w:pPr>
      <w:r w:rsidRPr="005F6787">
        <w:rPr>
          <w:rStyle w:val="ad"/>
          <w:szCs w:val="21"/>
        </w:rPr>
        <w:footnoteRef/>
      </w:r>
      <w:r w:rsidRPr="005F6787">
        <w:rPr>
          <w:szCs w:val="21"/>
        </w:rPr>
        <w:t xml:space="preserve">　石井夏生利</w:t>
      </w:r>
      <w:r w:rsidRPr="005F6787">
        <w:rPr>
          <w:szCs w:val="21"/>
        </w:rPr>
        <w:t>[2019]35</w:t>
      </w:r>
      <w:r w:rsidRPr="005F6787">
        <w:rPr>
          <w:szCs w:val="21"/>
        </w:rPr>
        <w:t>頁は、本文で引用した本決定におけるデータ保護法の基本的性格と同様のことを述べている。すなわち、「『自由』は、データ主体の真の選択およびコントロールを意味する。</w:t>
      </w:r>
      <w:r w:rsidRPr="005F6787">
        <w:rPr>
          <w:szCs w:val="21"/>
        </w:rPr>
        <w:t>----</w:t>
      </w:r>
      <w:r w:rsidRPr="005F6787">
        <w:rPr>
          <w:szCs w:val="21"/>
        </w:rPr>
        <w:t>『力の不均衡』について、公的機関と個人の間には明らかな力の不均衡が存在することが多いため、同意に依拠できる可能性は低い。力の不均衡は、職場のカメラ監視などの雇用環境においても生じる」、と述べる。このような、「自由」と「力の不均衡」を結びつける考え方が、</w:t>
      </w:r>
      <w:r w:rsidRPr="005F6787">
        <w:rPr>
          <w:szCs w:val="21"/>
        </w:rPr>
        <w:t>GDPR</w:t>
      </w:r>
      <w:r w:rsidRPr="005F6787">
        <w:rPr>
          <w:szCs w:val="21"/>
        </w:rPr>
        <w:t>の基本的立場のようである。</w:t>
      </w:r>
    </w:p>
    <w:p w14:paraId="6CE306C0" w14:textId="77777777" w:rsidR="005916C2" w:rsidRPr="005F6787" w:rsidRDefault="005916C2">
      <w:pPr>
        <w:pStyle w:val="ab"/>
        <w:rPr>
          <w:szCs w:val="21"/>
        </w:rPr>
      </w:pPr>
    </w:p>
  </w:footnote>
  <w:footnote w:id="41">
    <w:p w14:paraId="5C86F23A" w14:textId="25CC7104" w:rsidR="005916C2" w:rsidRPr="005F6787" w:rsidRDefault="005916C2">
      <w:pPr>
        <w:pStyle w:val="ab"/>
        <w:rPr>
          <w:szCs w:val="21"/>
        </w:rPr>
      </w:pPr>
      <w:r w:rsidRPr="005F6787">
        <w:rPr>
          <w:rStyle w:val="ad"/>
          <w:szCs w:val="21"/>
        </w:rPr>
        <w:footnoteRef/>
      </w:r>
      <w:r w:rsidRPr="005F6787">
        <w:rPr>
          <w:szCs w:val="21"/>
        </w:rPr>
        <w:t xml:space="preserve">  EU</w:t>
      </w:r>
      <w:r w:rsidRPr="005F6787">
        <w:rPr>
          <w:szCs w:val="21"/>
        </w:rPr>
        <w:t>の</w:t>
      </w:r>
      <w:r w:rsidRPr="005F6787">
        <w:rPr>
          <w:szCs w:val="21"/>
        </w:rPr>
        <w:t>GDPR</w:t>
      </w:r>
      <w:r w:rsidRPr="005F6787">
        <w:rPr>
          <w:szCs w:val="21"/>
        </w:rPr>
        <w:t>と日本の個人情報保護法の比較については、藤原靜雄</w:t>
      </w:r>
      <w:r w:rsidRPr="005F6787">
        <w:rPr>
          <w:szCs w:val="21"/>
        </w:rPr>
        <w:t>[2016]</w:t>
      </w:r>
      <w:r w:rsidRPr="005F6787">
        <w:rPr>
          <w:szCs w:val="21"/>
        </w:rPr>
        <w:t>、藤原靜雄</w:t>
      </w:r>
      <w:r w:rsidRPr="005F6787">
        <w:rPr>
          <w:szCs w:val="21"/>
        </w:rPr>
        <w:t>[2018]</w:t>
      </w:r>
      <w:r w:rsidRPr="005F6787">
        <w:rPr>
          <w:szCs w:val="21"/>
        </w:rPr>
        <w:t>、石井夏生利</w:t>
      </w:r>
      <w:r w:rsidRPr="005F6787">
        <w:rPr>
          <w:szCs w:val="21"/>
        </w:rPr>
        <w:t>[2017]</w:t>
      </w:r>
      <w:r w:rsidRPr="005F6787">
        <w:rPr>
          <w:szCs w:val="21"/>
        </w:rPr>
        <w:t>等を参照。</w:t>
      </w:r>
    </w:p>
  </w:footnote>
  <w:footnote w:id="42">
    <w:p w14:paraId="40078C4A" w14:textId="77777777"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この点については、舟田</w:t>
      </w:r>
      <w:r w:rsidRPr="005F6787">
        <w:rPr>
          <w:szCs w:val="21"/>
        </w:rPr>
        <w:t>[2017a]17</w:t>
      </w:r>
      <w:r w:rsidRPr="005F6787">
        <w:rPr>
          <w:szCs w:val="21"/>
        </w:rPr>
        <w:t>頁以下参照。</w:t>
      </w:r>
    </w:p>
  </w:footnote>
  <w:footnote w:id="43">
    <w:p w14:paraId="7C9DB7F7" w14:textId="7B0AE070" w:rsidR="005916C2" w:rsidRPr="005F6787" w:rsidRDefault="005916C2" w:rsidP="00AE4958">
      <w:pPr>
        <w:rPr>
          <w:szCs w:val="21"/>
        </w:rPr>
      </w:pPr>
      <w:r w:rsidRPr="005F6787">
        <w:rPr>
          <w:rStyle w:val="ad"/>
          <w:szCs w:val="21"/>
        </w:rPr>
        <w:footnoteRef/>
      </w:r>
      <w:r w:rsidRPr="005F6787">
        <w:rPr>
          <w:szCs w:val="21"/>
        </w:rPr>
        <w:t xml:space="preserve"> </w:t>
      </w:r>
      <w:r w:rsidRPr="005F6787">
        <w:rPr>
          <w:szCs w:val="21"/>
        </w:rPr>
        <w:t xml:space="preserve">　杉本武重「欧州における個人情報保護の競争政策上の取扱い」</w:t>
      </w:r>
      <w:r w:rsidRPr="005F6787">
        <w:rPr>
          <w:szCs w:val="21"/>
        </w:rPr>
        <w:t xml:space="preserve">: </w:t>
      </w:r>
      <w:r w:rsidRPr="005F6787">
        <w:rPr>
          <w:szCs w:val="21"/>
        </w:rPr>
        <w:t>板倉陽一郎「個人情報保護と競争政策</w:t>
      </w:r>
      <w:r w:rsidRPr="005F6787">
        <w:rPr>
          <w:szCs w:val="21"/>
        </w:rPr>
        <w:t xml:space="preserve"> </w:t>
      </w:r>
      <w:r w:rsidRPr="005F6787">
        <w:rPr>
          <w:szCs w:val="21"/>
        </w:rPr>
        <w:t>日本における状況」競争政策研究センター第２回大阪国際シンポジウム「デジタル社会における新たな競争政策～プラットフォーム＆個人情報保護～」（</w:t>
      </w:r>
      <w:r w:rsidRPr="005F6787">
        <w:rPr>
          <w:szCs w:val="21"/>
        </w:rPr>
        <w:t>2018</w:t>
      </w:r>
      <w:r w:rsidRPr="005F6787">
        <w:rPr>
          <w:szCs w:val="21"/>
        </w:rPr>
        <w:t>年</w:t>
      </w:r>
      <w:r w:rsidRPr="005F6787">
        <w:rPr>
          <w:szCs w:val="21"/>
        </w:rPr>
        <w:t>12</w:t>
      </w:r>
      <w:r w:rsidRPr="005F6787">
        <w:rPr>
          <w:szCs w:val="21"/>
        </w:rPr>
        <w:t>月</w:t>
      </w:r>
      <w:r w:rsidRPr="005F6787">
        <w:rPr>
          <w:szCs w:val="21"/>
        </w:rPr>
        <w:t>7</w:t>
      </w:r>
      <w:r w:rsidRPr="005F6787">
        <w:rPr>
          <w:szCs w:val="21"/>
        </w:rPr>
        <w:t>日）報告レジュメを参照。</w:t>
      </w:r>
    </w:p>
    <w:p w14:paraId="49A76AB4" w14:textId="77777777" w:rsidR="005916C2" w:rsidRPr="005F6787" w:rsidRDefault="003E7FA0" w:rsidP="00582801">
      <w:pPr>
        <w:rPr>
          <w:szCs w:val="21"/>
        </w:rPr>
      </w:pPr>
      <w:hyperlink r:id="rId5" w:history="1">
        <w:r w:rsidR="005916C2" w:rsidRPr="005F6787">
          <w:rPr>
            <w:rStyle w:val="a3"/>
            <w:color w:val="auto"/>
            <w:szCs w:val="21"/>
          </w:rPr>
          <w:t>https://www.jftc.go.jp/cprc/koukai/sympo/181207sympo.html</w:t>
        </w:r>
      </w:hyperlink>
    </w:p>
  </w:footnote>
  <w:footnote w:id="44">
    <w:p w14:paraId="36B54B7D" w14:textId="2F6C4FA4" w:rsidR="005916C2" w:rsidRPr="005F6787" w:rsidRDefault="005916C2">
      <w:pPr>
        <w:pStyle w:val="ab"/>
        <w:rPr>
          <w:szCs w:val="21"/>
        </w:rPr>
      </w:pPr>
      <w:r w:rsidRPr="005F6787">
        <w:rPr>
          <w:rStyle w:val="ad"/>
          <w:szCs w:val="21"/>
        </w:rPr>
        <w:footnoteRef/>
      </w:r>
      <w:r w:rsidRPr="005F6787">
        <w:rPr>
          <w:szCs w:val="21"/>
        </w:rPr>
        <w:t xml:space="preserve"> </w:t>
      </w:r>
      <w:r w:rsidRPr="005F6787">
        <w:rPr>
          <w:szCs w:val="21"/>
        </w:rPr>
        <w:t xml:space="preserve">　</w:t>
      </w:r>
      <w:bookmarkStart w:id="18" w:name="_GoBack"/>
      <w:bookmarkEnd w:id="18"/>
      <w:r w:rsidRPr="005F6787">
        <w:rPr>
          <w:rFonts w:cs="Arial"/>
          <w:kern w:val="0"/>
          <w:szCs w:val="21"/>
        </w:rPr>
        <w:t>舟田</w:t>
      </w:r>
      <w:r w:rsidRPr="005F6787">
        <w:rPr>
          <w:rFonts w:cs="Arial"/>
          <w:kern w:val="0"/>
          <w:szCs w:val="21"/>
        </w:rPr>
        <w:t>[2009]537</w:t>
      </w:r>
      <w:r w:rsidRPr="005F6787">
        <w:rPr>
          <w:rFonts w:cs="Arial"/>
          <w:kern w:val="0"/>
          <w:szCs w:val="21"/>
        </w:rPr>
        <w:t>頁、</w:t>
      </w:r>
      <w:r w:rsidRPr="005F6787">
        <w:rPr>
          <w:szCs w:val="21"/>
        </w:rPr>
        <w:t>舟田</w:t>
      </w:r>
      <w:r w:rsidRPr="005F6787">
        <w:rPr>
          <w:szCs w:val="21"/>
        </w:rPr>
        <w:t>[2017a]</w:t>
      </w:r>
      <w:r w:rsidRPr="005F6787">
        <w:rPr>
          <w:szCs w:val="21"/>
        </w:rPr>
        <w:t>、舟田</w:t>
      </w:r>
      <w:r w:rsidRPr="005F6787">
        <w:rPr>
          <w:szCs w:val="21"/>
        </w:rPr>
        <w:t>[2018]</w:t>
      </w:r>
      <w:r w:rsidRPr="005F6787">
        <w:rPr>
          <w:rFonts w:cs="Arial"/>
          <w:kern w:val="0"/>
          <w:szCs w:val="21"/>
        </w:rPr>
        <w:t>等を</w:t>
      </w:r>
      <w:r w:rsidRPr="005F6787">
        <w:rPr>
          <w:szCs w:val="21"/>
        </w:rPr>
        <w:t>参照。</w:t>
      </w:r>
    </w:p>
  </w:footnote>
  <w:footnote w:id="45">
    <w:p w14:paraId="2ADB0BBB" w14:textId="7C2B9947" w:rsidR="005916C2" w:rsidRPr="005F6787" w:rsidRDefault="005916C2">
      <w:pPr>
        <w:pStyle w:val="ab"/>
      </w:pPr>
      <w:r w:rsidRPr="005F6787">
        <w:rPr>
          <w:rStyle w:val="ad"/>
        </w:rPr>
        <w:footnoteRef/>
      </w:r>
      <w:r w:rsidRPr="005F6787">
        <w:t xml:space="preserve"> </w:t>
      </w:r>
      <w:r w:rsidRPr="005F6787">
        <w:t xml:space="preserve">　</w:t>
      </w:r>
      <w:r w:rsidRPr="005F6787">
        <w:t xml:space="preserve"> OLG Dusseldorf,Beschl. vom 26.08.2019 ,Kartl/19 (V); </w:t>
      </w:r>
      <w:r w:rsidRPr="005F6787">
        <w:rPr>
          <w:rFonts w:eastAsia="RyuminPr6-Light" w:cs="RyuminPr6-Light"/>
          <w:szCs w:val="21"/>
        </w:rPr>
        <w:t xml:space="preserve">BGH, </w:t>
      </w:r>
      <w:r w:rsidRPr="005F6787">
        <w:rPr>
          <w:rStyle w:val="aa"/>
          <w:rFonts w:cs="Arial"/>
          <w:b w:val="0"/>
          <w:bCs w:val="0"/>
          <w:szCs w:val="21"/>
        </w:rPr>
        <w:t xml:space="preserve">Beschl. vom 23. Juni 2020 </w:t>
      </w:r>
      <w:r w:rsidRPr="005F6787">
        <w:rPr>
          <w:rFonts w:eastAsia="seikosha-OTF" w:cs="seikosha-OTF"/>
          <w:szCs w:val="21"/>
        </w:rPr>
        <w:t>,</w:t>
      </w:r>
      <w:r w:rsidRPr="005F6787">
        <w:rPr>
          <w:rStyle w:val="aa"/>
          <w:rFonts w:cs="Arial"/>
          <w:b w:val="0"/>
          <w:bCs w:val="0"/>
          <w:szCs w:val="21"/>
        </w:rPr>
        <w:t xml:space="preserve">KVR 69/19. </w:t>
      </w:r>
      <w:r w:rsidRPr="005F6787">
        <w:t>これら両判決については、</w:t>
      </w:r>
      <w:r w:rsidRPr="005F6787">
        <w:rPr>
          <w:szCs w:val="21"/>
        </w:rPr>
        <w:t>柴田潤子</w:t>
      </w:r>
      <w:r w:rsidRPr="005F6787">
        <w:rPr>
          <w:szCs w:val="21"/>
        </w:rPr>
        <w:t>[2020]</w:t>
      </w:r>
      <w:r w:rsidRPr="005F6787">
        <w:rPr>
          <w:szCs w:val="21"/>
        </w:rPr>
        <w:t>、柴田潤子</w:t>
      </w:r>
      <w:r w:rsidRPr="005F6787">
        <w:rPr>
          <w:szCs w:val="21"/>
        </w:rPr>
        <w:t>[2021]</w:t>
      </w:r>
      <w:r w:rsidRPr="005F6787">
        <w:rPr>
          <w:szCs w:val="21"/>
        </w:rPr>
        <w:t>を参照。</w:t>
      </w:r>
    </w:p>
  </w:footnote>
  <w:footnote w:id="46">
    <w:p w14:paraId="641DDAEA" w14:textId="78BFEC1D" w:rsidR="005916C2" w:rsidRPr="005F6787" w:rsidRDefault="005916C2">
      <w:pPr>
        <w:pStyle w:val="ab"/>
        <w:rPr>
          <w:szCs w:val="21"/>
        </w:rPr>
      </w:pPr>
      <w:r w:rsidRPr="005F6787">
        <w:rPr>
          <w:rStyle w:val="ad"/>
          <w:szCs w:val="21"/>
        </w:rPr>
        <w:footnoteRef/>
      </w:r>
      <w:r w:rsidRPr="005F6787">
        <w:rPr>
          <w:szCs w:val="21"/>
        </w:rPr>
        <w:t xml:space="preserve">　民法と競争法の関連等の問題については、不十分ながら、舟田</w:t>
      </w:r>
      <w:r w:rsidRPr="005F6787">
        <w:rPr>
          <w:szCs w:val="21"/>
        </w:rPr>
        <w:t>[2020]</w:t>
      </w:r>
      <w:r w:rsidRPr="005F6787">
        <w:rPr>
          <w:szCs w:val="21"/>
        </w:rPr>
        <w:t>で検討を加えた。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0BF"/>
    <w:multiLevelType w:val="hybridMultilevel"/>
    <w:tmpl w:val="A4003CDA"/>
    <w:lvl w:ilvl="0" w:tplc="184C6276">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9B177F0"/>
    <w:multiLevelType w:val="hybridMultilevel"/>
    <w:tmpl w:val="2D02144E"/>
    <w:lvl w:ilvl="0" w:tplc="CC8E1A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203F6D"/>
    <w:multiLevelType w:val="hybridMultilevel"/>
    <w:tmpl w:val="EE969F46"/>
    <w:lvl w:ilvl="0" w:tplc="366AFC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A34A7C"/>
    <w:multiLevelType w:val="hybridMultilevel"/>
    <w:tmpl w:val="A48ADEA0"/>
    <w:lvl w:ilvl="0" w:tplc="B352F3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CB2FE8"/>
    <w:multiLevelType w:val="hybridMultilevel"/>
    <w:tmpl w:val="CEECBD9A"/>
    <w:lvl w:ilvl="0" w:tplc="E3DC2A1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92926C8"/>
    <w:multiLevelType w:val="hybridMultilevel"/>
    <w:tmpl w:val="CCA46D5E"/>
    <w:lvl w:ilvl="0" w:tplc="36E43F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754EDC"/>
    <w:multiLevelType w:val="hybridMultilevel"/>
    <w:tmpl w:val="73A646E8"/>
    <w:lvl w:ilvl="0" w:tplc="1FB021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1E537EF"/>
    <w:multiLevelType w:val="hybridMultilevel"/>
    <w:tmpl w:val="A1BE7014"/>
    <w:lvl w:ilvl="0" w:tplc="D242CF4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28B5FAB"/>
    <w:multiLevelType w:val="hybridMultilevel"/>
    <w:tmpl w:val="C066AF66"/>
    <w:lvl w:ilvl="0" w:tplc="8A58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F17C8A"/>
    <w:multiLevelType w:val="hybridMultilevel"/>
    <w:tmpl w:val="B4A82744"/>
    <w:lvl w:ilvl="0" w:tplc="9A9CE0AC">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C247CB"/>
    <w:multiLevelType w:val="hybridMultilevel"/>
    <w:tmpl w:val="4EB28B82"/>
    <w:lvl w:ilvl="0" w:tplc="2514F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9"/>
  </w:num>
  <w:num w:numId="5">
    <w:abstractNumId w:val="6"/>
  </w:num>
  <w:num w:numId="6">
    <w:abstractNumId w:val="10"/>
  </w:num>
  <w:num w:numId="7">
    <w:abstractNumId w:val="5"/>
  </w:num>
  <w:num w:numId="8">
    <w:abstractNumId w:val="1"/>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03"/>
    <w:rsid w:val="00004787"/>
    <w:rsid w:val="00011D23"/>
    <w:rsid w:val="000136AD"/>
    <w:rsid w:val="000203B5"/>
    <w:rsid w:val="000219AF"/>
    <w:rsid w:val="00023CDD"/>
    <w:rsid w:val="000244DB"/>
    <w:rsid w:val="00026218"/>
    <w:rsid w:val="00032176"/>
    <w:rsid w:val="00032E20"/>
    <w:rsid w:val="00042C70"/>
    <w:rsid w:val="00043B64"/>
    <w:rsid w:val="00046C8C"/>
    <w:rsid w:val="00047399"/>
    <w:rsid w:val="0005694C"/>
    <w:rsid w:val="00056F76"/>
    <w:rsid w:val="000576E5"/>
    <w:rsid w:val="00057789"/>
    <w:rsid w:val="00057897"/>
    <w:rsid w:val="00060198"/>
    <w:rsid w:val="00063FB7"/>
    <w:rsid w:val="0007073F"/>
    <w:rsid w:val="00070944"/>
    <w:rsid w:val="00070F7F"/>
    <w:rsid w:val="00072143"/>
    <w:rsid w:val="00073E11"/>
    <w:rsid w:val="00080075"/>
    <w:rsid w:val="000807AB"/>
    <w:rsid w:val="00082C83"/>
    <w:rsid w:val="00083A32"/>
    <w:rsid w:val="0008408A"/>
    <w:rsid w:val="000862CB"/>
    <w:rsid w:val="00087220"/>
    <w:rsid w:val="000931AB"/>
    <w:rsid w:val="00094EBD"/>
    <w:rsid w:val="00095F58"/>
    <w:rsid w:val="000A0FB0"/>
    <w:rsid w:val="000A14ED"/>
    <w:rsid w:val="000A41F6"/>
    <w:rsid w:val="000A668C"/>
    <w:rsid w:val="000B2E12"/>
    <w:rsid w:val="000B4978"/>
    <w:rsid w:val="000B73D3"/>
    <w:rsid w:val="000B7C91"/>
    <w:rsid w:val="000C2B65"/>
    <w:rsid w:val="000C5F74"/>
    <w:rsid w:val="000D031C"/>
    <w:rsid w:val="000D174F"/>
    <w:rsid w:val="000D1D8E"/>
    <w:rsid w:val="000E19F8"/>
    <w:rsid w:val="000E2DEE"/>
    <w:rsid w:val="000E3450"/>
    <w:rsid w:val="000E6D18"/>
    <w:rsid w:val="000F0174"/>
    <w:rsid w:val="000F2A25"/>
    <w:rsid w:val="000F41D6"/>
    <w:rsid w:val="000F5B33"/>
    <w:rsid w:val="000F5DB1"/>
    <w:rsid w:val="000F6799"/>
    <w:rsid w:val="000F6BC7"/>
    <w:rsid w:val="001001AB"/>
    <w:rsid w:val="001027EB"/>
    <w:rsid w:val="0010333A"/>
    <w:rsid w:val="00103A01"/>
    <w:rsid w:val="00106404"/>
    <w:rsid w:val="00111A13"/>
    <w:rsid w:val="00121AA9"/>
    <w:rsid w:val="001241D4"/>
    <w:rsid w:val="001308AD"/>
    <w:rsid w:val="00130FB1"/>
    <w:rsid w:val="001310E1"/>
    <w:rsid w:val="00133C45"/>
    <w:rsid w:val="0014195C"/>
    <w:rsid w:val="00143B89"/>
    <w:rsid w:val="00144CB3"/>
    <w:rsid w:val="001455CD"/>
    <w:rsid w:val="00150D22"/>
    <w:rsid w:val="00153DB6"/>
    <w:rsid w:val="00155D6B"/>
    <w:rsid w:val="00156BBE"/>
    <w:rsid w:val="001612E1"/>
    <w:rsid w:val="00161685"/>
    <w:rsid w:val="00164C46"/>
    <w:rsid w:val="00165333"/>
    <w:rsid w:val="00166F32"/>
    <w:rsid w:val="001706A4"/>
    <w:rsid w:val="00172D56"/>
    <w:rsid w:val="00177152"/>
    <w:rsid w:val="00181F64"/>
    <w:rsid w:val="00191E72"/>
    <w:rsid w:val="001A100C"/>
    <w:rsid w:val="001A2B4E"/>
    <w:rsid w:val="001A61CE"/>
    <w:rsid w:val="001A650E"/>
    <w:rsid w:val="001B4057"/>
    <w:rsid w:val="001B5881"/>
    <w:rsid w:val="001B74BE"/>
    <w:rsid w:val="001C0F4F"/>
    <w:rsid w:val="001C56EA"/>
    <w:rsid w:val="001C66B2"/>
    <w:rsid w:val="001D067C"/>
    <w:rsid w:val="001D1DA2"/>
    <w:rsid w:val="001E261B"/>
    <w:rsid w:val="001F0EF8"/>
    <w:rsid w:val="001F22FB"/>
    <w:rsid w:val="001F3966"/>
    <w:rsid w:val="00205E78"/>
    <w:rsid w:val="002112D8"/>
    <w:rsid w:val="002132A0"/>
    <w:rsid w:val="002149C1"/>
    <w:rsid w:val="00216644"/>
    <w:rsid w:val="00216B76"/>
    <w:rsid w:val="00217EA4"/>
    <w:rsid w:val="00217FA0"/>
    <w:rsid w:val="00221BF8"/>
    <w:rsid w:val="00230235"/>
    <w:rsid w:val="00233645"/>
    <w:rsid w:val="00243E1E"/>
    <w:rsid w:val="00244376"/>
    <w:rsid w:val="00251306"/>
    <w:rsid w:val="00253628"/>
    <w:rsid w:val="00256F97"/>
    <w:rsid w:val="00256FC2"/>
    <w:rsid w:val="0026537E"/>
    <w:rsid w:val="00265F7F"/>
    <w:rsid w:val="002701AB"/>
    <w:rsid w:val="002711B8"/>
    <w:rsid w:val="00276C59"/>
    <w:rsid w:val="00283135"/>
    <w:rsid w:val="002841A8"/>
    <w:rsid w:val="002940B8"/>
    <w:rsid w:val="0029426B"/>
    <w:rsid w:val="002972CB"/>
    <w:rsid w:val="002979A4"/>
    <w:rsid w:val="002A0620"/>
    <w:rsid w:val="002A0B51"/>
    <w:rsid w:val="002A5006"/>
    <w:rsid w:val="002B3BCF"/>
    <w:rsid w:val="002B4436"/>
    <w:rsid w:val="002B4F8C"/>
    <w:rsid w:val="002B7FFE"/>
    <w:rsid w:val="002C63D3"/>
    <w:rsid w:val="002D1091"/>
    <w:rsid w:val="002D145C"/>
    <w:rsid w:val="002D35D6"/>
    <w:rsid w:val="002D39C8"/>
    <w:rsid w:val="002D6AA2"/>
    <w:rsid w:val="002D76BB"/>
    <w:rsid w:val="002E24A9"/>
    <w:rsid w:val="002E476C"/>
    <w:rsid w:val="002E5918"/>
    <w:rsid w:val="002F00B7"/>
    <w:rsid w:val="002F312D"/>
    <w:rsid w:val="002F3B25"/>
    <w:rsid w:val="00300CAD"/>
    <w:rsid w:val="00301F1A"/>
    <w:rsid w:val="0030621E"/>
    <w:rsid w:val="0031100A"/>
    <w:rsid w:val="0031368B"/>
    <w:rsid w:val="003152EC"/>
    <w:rsid w:val="00317746"/>
    <w:rsid w:val="00320259"/>
    <w:rsid w:val="00320694"/>
    <w:rsid w:val="003302A8"/>
    <w:rsid w:val="0033087E"/>
    <w:rsid w:val="003325B2"/>
    <w:rsid w:val="00337121"/>
    <w:rsid w:val="00337A8A"/>
    <w:rsid w:val="0034224F"/>
    <w:rsid w:val="003471B2"/>
    <w:rsid w:val="00352525"/>
    <w:rsid w:val="003573E3"/>
    <w:rsid w:val="00357E73"/>
    <w:rsid w:val="003605E3"/>
    <w:rsid w:val="00362E55"/>
    <w:rsid w:val="00366FA9"/>
    <w:rsid w:val="0036706D"/>
    <w:rsid w:val="0036753E"/>
    <w:rsid w:val="00367CB2"/>
    <w:rsid w:val="00371AE6"/>
    <w:rsid w:val="00372207"/>
    <w:rsid w:val="00373380"/>
    <w:rsid w:val="003831D8"/>
    <w:rsid w:val="0038627C"/>
    <w:rsid w:val="00386364"/>
    <w:rsid w:val="0039127A"/>
    <w:rsid w:val="00394528"/>
    <w:rsid w:val="00395C18"/>
    <w:rsid w:val="00397706"/>
    <w:rsid w:val="003A010F"/>
    <w:rsid w:val="003A2E3A"/>
    <w:rsid w:val="003B1AD0"/>
    <w:rsid w:val="003B5251"/>
    <w:rsid w:val="003B5A9A"/>
    <w:rsid w:val="003B660C"/>
    <w:rsid w:val="003B6B40"/>
    <w:rsid w:val="003B6EEC"/>
    <w:rsid w:val="003C1189"/>
    <w:rsid w:val="003C17D2"/>
    <w:rsid w:val="003D163C"/>
    <w:rsid w:val="003D18C1"/>
    <w:rsid w:val="003D18E0"/>
    <w:rsid w:val="003D2C73"/>
    <w:rsid w:val="003D7C34"/>
    <w:rsid w:val="003E34B0"/>
    <w:rsid w:val="003E37FC"/>
    <w:rsid w:val="003E439A"/>
    <w:rsid w:val="003E75CB"/>
    <w:rsid w:val="003E7FA0"/>
    <w:rsid w:val="003F0BE9"/>
    <w:rsid w:val="003F2734"/>
    <w:rsid w:val="003F41B8"/>
    <w:rsid w:val="003F670D"/>
    <w:rsid w:val="003F6D8E"/>
    <w:rsid w:val="00401F72"/>
    <w:rsid w:val="00404EFC"/>
    <w:rsid w:val="0041085D"/>
    <w:rsid w:val="00411F14"/>
    <w:rsid w:val="00411FE2"/>
    <w:rsid w:val="00412128"/>
    <w:rsid w:val="00416BD4"/>
    <w:rsid w:val="0042099C"/>
    <w:rsid w:val="00423778"/>
    <w:rsid w:val="004237C3"/>
    <w:rsid w:val="00424A88"/>
    <w:rsid w:val="00426BE7"/>
    <w:rsid w:val="004274C8"/>
    <w:rsid w:val="004307A2"/>
    <w:rsid w:val="00431C33"/>
    <w:rsid w:val="004332FA"/>
    <w:rsid w:val="00437DC1"/>
    <w:rsid w:val="00442627"/>
    <w:rsid w:val="00447BAA"/>
    <w:rsid w:val="00454F00"/>
    <w:rsid w:val="00457771"/>
    <w:rsid w:val="004578E6"/>
    <w:rsid w:val="00457BD1"/>
    <w:rsid w:val="00467A68"/>
    <w:rsid w:val="00474BBF"/>
    <w:rsid w:val="0047698C"/>
    <w:rsid w:val="00485141"/>
    <w:rsid w:val="004852AC"/>
    <w:rsid w:val="00495B59"/>
    <w:rsid w:val="004A3319"/>
    <w:rsid w:val="004A4842"/>
    <w:rsid w:val="004A6D96"/>
    <w:rsid w:val="004B1860"/>
    <w:rsid w:val="004B3AE9"/>
    <w:rsid w:val="004B4E0E"/>
    <w:rsid w:val="004B5905"/>
    <w:rsid w:val="004C0E41"/>
    <w:rsid w:val="004C20AE"/>
    <w:rsid w:val="004C4DB3"/>
    <w:rsid w:val="004C6812"/>
    <w:rsid w:val="004C68ED"/>
    <w:rsid w:val="004C7EAA"/>
    <w:rsid w:val="004D03B4"/>
    <w:rsid w:val="004D34E8"/>
    <w:rsid w:val="004E2496"/>
    <w:rsid w:val="004E4235"/>
    <w:rsid w:val="004F0093"/>
    <w:rsid w:val="004F009D"/>
    <w:rsid w:val="004F1E8D"/>
    <w:rsid w:val="004F26F1"/>
    <w:rsid w:val="004F43B9"/>
    <w:rsid w:val="0050469A"/>
    <w:rsid w:val="005058F4"/>
    <w:rsid w:val="00506300"/>
    <w:rsid w:val="00514D63"/>
    <w:rsid w:val="00516557"/>
    <w:rsid w:val="0052032D"/>
    <w:rsid w:val="00522E6C"/>
    <w:rsid w:val="00522ECA"/>
    <w:rsid w:val="005262D4"/>
    <w:rsid w:val="00530450"/>
    <w:rsid w:val="00533DD5"/>
    <w:rsid w:val="00534BF5"/>
    <w:rsid w:val="00536544"/>
    <w:rsid w:val="00545625"/>
    <w:rsid w:val="005465C3"/>
    <w:rsid w:val="00546CED"/>
    <w:rsid w:val="005479E5"/>
    <w:rsid w:val="0055132C"/>
    <w:rsid w:val="00554498"/>
    <w:rsid w:val="0055667A"/>
    <w:rsid w:val="00557769"/>
    <w:rsid w:val="005606C8"/>
    <w:rsid w:val="0056306E"/>
    <w:rsid w:val="00565BED"/>
    <w:rsid w:val="005664E0"/>
    <w:rsid w:val="0057186F"/>
    <w:rsid w:val="005728F7"/>
    <w:rsid w:val="00572A68"/>
    <w:rsid w:val="0057676D"/>
    <w:rsid w:val="00582801"/>
    <w:rsid w:val="00584176"/>
    <w:rsid w:val="0058569E"/>
    <w:rsid w:val="005916C2"/>
    <w:rsid w:val="00596612"/>
    <w:rsid w:val="005A6493"/>
    <w:rsid w:val="005B1571"/>
    <w:rsid w:val="005B1CBA"/>
    <w:rsid w:val="005B2382"/>
    <w:rsid w:val="005B33F2"/>
    <w:rsid w:val="005B3949"/>
    <w:rsid w:val="005B3E1A"/>
    <w:rsid w:val="005B7225"/>
    <w:rsid w:val="005C078B"/>
    <w:rsid w:val="005C0B7E"/>
    <w:rsid w:val="005C1225"/>
    <w:rsid w:val="005C1302"/>
    <w:rsid w:val="005C15CF"/>
    <w:rsid w:val="005C3B5F"/>
    <w:rsid w:val="005C425F"/>
    <w:rsid w:val="005C4E28"/>
    <w:rsid w:val="005C7A07"/>
    <w:rsid w:val="005C7E56"/>
    <w:rsid w:val="005D365B"/>
    <w:rsid w:val="005D3BA9"/>
    <w:rsid w:val="005D3DDC"/>
    <w:rsid w:val="005E25CB"/>
    <w:rsid w:val="005E29F1"/>
    <w:rsid w:val="005E3F2E"/>
    <w:rsid w:val="005E4A4F"/>
    <w:rsid w:val="005E67CD"/>
    <w:rsid w:val="005F4626"/>
    <w:rsid w:val="005F6787"/>
    <w:rsid w:val="005F6E96"/>
    <w:rsid w:val="005F7D49"/>
    <w:rsid w:val="00600265"/>
    <w:rsid w:val="00600CBB"/>
    <w:rsid w:val="00601268"/>
    <w:rsid w:val="00601896"/>
    <w:rsid w:val="00606F49"/>
    <w:rsid w:val="00607F76"/>
    <w:rsid w:val="00610059"/>
    <w:rsid w:val="0061094D"/>
    <w:rsid w:val="00610F92"/>
    <w:rsid w:val="00611062"/>
    <w:rsid w:val="00611990"/>
    <w:rsid w:val="006178A3"/>
    <w:rsid w:val="00624125"/>
    <w:rsid w:val="006244E8"/>
    <w:rsid w:val="006250D8"/>
    <w:rsid w:val="00625985"/>
    <w:rsid w:val="006262A1"/>
    <w:rsid w:val="00636105"/>
    <w:rsid w:val="00642C8E"/>
    <w:rsid w:val="00644FFA"/>
    <w:rsid w:val="00647A5C"/>
    <w:rsid w:val="00652520"/>
    <w:rsid w:val="00653989"/>
    <w:rsid w:val="00654D09"/>
    <w:rsid w:val="00663E57"/>
    <w:rsid w:val="0066713F"/>
    <w:rsid w:val="00671AFD"/>
    <w:rsid w:val="00674011"/>
    <w:rsid w:val="006745FF"/>
    <w:rsid w:val="00674BAD"/>
    <w:rsid w:val="0067514A"/>
    <w:rsid w:val="00686149"/>
    <w:rsid w:val="00686749"/>
    <w:rsid w:val="00690FCB"/>
    <w:rsid w:val="00692884"/>
    <w:rsid w:val="00693F98"/>
    <w:rsid w:val="006A624A"/>
    <w:rsid w:val="006B0708"/>
    <w:rsid w:val="006B211C"/>
    <w:rsid w:val="006B3D2D"/>
    <w:rsid w:val="006B49F5"/>
    <w:rsid w:val="006B5FC8"/>
    <w:rsid w:val="006B5FFC"/>
    <w:rsid w:val="006C1125"/>
    <w:rsid w:val="006C3076"/>
    <w:rsid w:val="006C657E"/>
    <w:rsid w:val="006C6A7F"/>
    <w:rsid w:val="006D30AE"/>
    <w:rsid w:val="006E78FC"/>
    <w:rsid w:val="006F1467"/>
    <w:rsid w:val="006F474E"/>
    <w:rsid w:val="006F5792"/>
    <w:rsid w:val="006F60AE"/>
    <w:rsid w:val="0070238D"/>
    <w:rsid w:val="00702C26"/>
    <w:rsid w:val="00704189"/>
    <w:rsid w:val="0070575C"/>
    <w:rsid w:val="00713EBC"/>
    <w:rsid w:val="007156D6"/>
    <w:rsid w:val="0071626E"/>
    <w:rsid w:val="00723775"/>
    <w:rsid w:val="007274AB"/>
    <w:rsid w:val="00732C30"/>
    <w:rsid w:val="00734B08"/>
    <w:rsid w:val="0073778B"/>
    <w:rsid w:val="00740522"/>
    <w:rsid w:val="00742885"/>
    <w:rsid w:val="00743897"/>
    <w:rsid w:val="00752FBE"/>
    <w:rsid w:val="00755354"/>
    <w:rsid w:val="00757A93"/>
    <w:rsid w:val="00760791"/>
    <w:rsid w:val="007618E7"/>
    <w:rsid w:val="007620D8"/>
    <w:rsid w:val="00762155"/>
    <w:rsid w:val="00762B48"/>
    <w:rsid w:val="0076431F"/>
    <w:rsid w:val="007660BD"/>
    <w:rsid w:val="0076616E"/>
    <w:rsid w:val="00771C00"/>
    <w:rsid w:val="00771DD8"/>
    <w:rsid w:val="00773502"/>
    <w:rsid w:val="00785026"/>
    <w:rsid w:val="007863D3"/>
    <w:rsid w:val="00790A92"/>
    <w:rsid w:val="00790B64"/>
    <w:rsid w:val="00790F77"/>
    <w:rsid w:val="007915D8"/>
    <w:rsid w:val="007923C1"/>
    <w:rsid w:val="00793A25"/>
    <w:rsid w:val="0079745C"/>
    <w:rsid w:val="007A1909"/>
    <w:rsid w:val="007A2007"/>
    <w:rsid w:val="007A21CB"/>
    <w:rsid w:val="007A49A3"/>
    <w:rsid w:val="007A4ABB"/>
    <w:rsid w:val="007B138F"/>
    <w:rsid w:val="007B40FD"/>
    <w:rsid w:val="007B58BC"/>
    <w:rsid w:val="007B7972"/>
    <w:rsid w:val="007C0577"/>
    <w:rsid w:val="007C66BD"/>
    <w:rsid w:val="007C6929"/>
    <w:rsid w:val="007C791A"/>
    <w:rsid w:val="007D2393"/>
    <w:rsid w:val="007D58B1"/>
    <w:rsid w:val="007E1487"/>
    <w:rsid w:val="007E3C92"/>
    <w:rsid w:val="007E73C4"/>
    <w:rsid w:val="007F0415"/>
    <w:rsid w:val="007F04EC"/>
    <w:rsid w:val="007F21C9"/>
    <w:rsid w:val="007F346D"/>
    <w:rsid w:val="008067AD"/>
    <w:rsid w:val="00810946"/>
    <w:rsid w:val="008109DC"/>
    <w:rsid w:val="00813332"/>
    <w:rsid w:val="008137D3"/>
    <w:rsid w:val="00814902"/>
    <w:rsid w:val="00815C6D"/>
    <w:rsid w:val="00816139"/>
    <w:rsid w:val="008162FD"/>
    <w:rsid w:val="00823577"/>
    <w:rsid w:val="00823699"/>
    <w:rsid w:val="00826909"/>
    <w:rsid w:val="008338AA"/>
    <w:rsid w:val="00833C1C"/>
    <w:rsid w:val="00836AC9"/>
    <w:rsid w:val="008406CB"/>
    <w:rsid w:val="00841A69"/>
    <w:rsid w:val="00842A97"/>
    <w:rsid w:val="00844A06"/>
    <w:rsid w:val="00845B31"/>
    <w:rsid w:val="008464CD"/>
    <w:rsid w:val="00847687"/>
    <w:rsid w:val="00852E01"/>
    <w:rsid w:val="008566B8"/>
    <w:rsid w:val="00857919"/>
    <w:rsid w:val="00861EC9"/>
    <w:rsid w:val="008622E8"/>
    <w:rsid w:val="00863477"/>
    <w:rsid w:val="008657EC"/>
    <w:rsid w:val="00866A77"/>
    <w:rsid w:val="0086732D"/>
    <w:rsid w:val="00867B6C"/>
    <w:rsid w:val="00871347"/>
    <w:rsid w:val="008713B6"/>
    <w:rsid w:val="00872C38"/>
    <w:rsid w:val="0087416B"/>
    <w:rsid w:val="00874406"/>
    <w:rsid w:val="00880664"/>
    <w:rsid w:val="00884FBF"/>
    <w:rsid w:val="008872F5"/>
    <w:rsid w:val="00893071"/>
    <w:rsid w:val="008944EC"/>
    <w:rsid w:val="00896F13"/>
    <w:rsid w:val="008A172B"/>
    <w:rsid w:val="008A2470"/>
    <w:rsid w:val="008A3B72"/>
    <w:rsid w:val="008A4E2A"/>
    <w:rsid w:val="008A5C1A"/>
    <w:rsid w:val="008A5F3B"/>
    <w:rsid w:val="008A5F9D"/>
    <w:rsid w:val="008A60D9"/>
    <w:rsid w:val="008A7601"/>
    <w:rsid w:val="008A7DC2"/>
    <w:rsid w:val="008B142A"/>
    <w:rsid w:val="008B38BE"/>
    <w:rsid w:val="008B47C4"/>
    <w:rsid w:val="008B744A"/>
    <w:rsid w:val="008C0827"/>
    <w:rsid w:val="008C1EDC"/>
    <w:rsid w:val="008C495D"/>
    <w:rsid w:val="008C553C"/>
    <w:rsid w:val="008D057A"/>
    <w:rsid w:val="008D2AD7"/>
    <w:rsid w:val="008D5F66"/>
    <w:rsid w:val="008D71DC"/>
    <w:rsid w:val="008E5E6C"/>
    <w:rsid w:val="008F33AF"/>
    <w:rsid w:val="008F4BC2"/>
    <w:rsid w:val="008F4DF8"/>
    <w:rsid w:val="008F6CED"/>
    <w:rsid w:val="0090310E"/>
    <w:rsid w:val="00905CC7"/>
    <w:rsid w:val="00910095"/>
    <w:rsid w:val="009115B4"/>
    <w:rsid w:val="009129CF"/>
    <w:rsid w:val="0091372D"/>
    <w:rsid w:val="00914540"/>
    <w:rsid w:val="0091633C"/>
    <w:rsid w:val="00917843"/>
    <w:rsid w:val="00921158"/>
    <w:rsid w:val="00921A49"/>
    <w:rsid w:val="00921FE6"/>
    <w:rsid w:val="00922CD1"/>
    <w:rsid w:val="00923E6B"/>
    <w:rsid w:val="0092422E"/>
    <w:rsid w:val="009245EC"/>
    <w:rsid w:val="00927459"/>
    <w:rsid w:val="009332C7"/>
    <w:rsid w:val="00933BAF"/>
    <w:rsid w:val="00934223"/>
    <w:rsid w:val="00934F94"/>
    <w:rsid w:val="00936EB1"/>
    <w:rsid w:val="009428F6"/>
    <w:rsid w:val="00942D7C"/>
    <w:rsid w:val="00942EDB"/>
    <w:rsid w:val="009505F4"/>
    <w:rsid w:val="00955193"/>
    <w:rsid w:val="00956E03"/>
    <w:rsid w:val="00962DD5"/>
    <w:rsid w:val="00967D5F"/>
    <w:rsid w:val="00975035"/>
    <w:rsid w:val="00976565"/>
    <w:rsid w:val="0097798F"/>
    <w:rsid w:val="009855A9"/>
    <w:rsid w:val="00985D8D"/>
    <w:rsid w:val="00987A56"/>
    <w:rsid w:val="0099302B"/>
    <w:rsid w:val="00995689"/>
    <w:rsid w:val="00997571"/>
    <w:rsid w:val="009A0C04"/>
    <w:rsid w:val="009A1891"/>
    <w:rsid w:val="009B28D8"/>
    <w:rsid w:val="009B35DB"/>
    <w:rsid w:val="009C192A"/>
    <w:rsid w:val="009C20C5"/>
    <w:rsid w:val="009D3D67"/>
    <w:rsid w:val="009D3DD8"/>
    <w:rsid w:val="009D755F"/>
    <w:rsid w:val="009E0CBE"/>
    <w:rsid w:val="009E23C3"/>
    <w:rsid w:val="009E6220"/>
    <w:rsid w:val="009F049D"/>
    <w:rsid w:val="009F2894"/>
    <w:rsid w:val="009F63B4"/>
    <w:rsid w:val="009F6E75"/>
    <w:rsid w:val="00A059AA"/>
    <w:rsid w:val="00A05E52"/>
    <w:rsid w:val="00A06781"/>
    <w:rsid w:val="00A06F17"/>
    <w:rsid w:val="00A07754"/>
    <w:rsid w:val="00A12C39"/>
    <w:rsid w:val="00A14143"/>
    <w:rsid w:val="00A148DE"/>
    <w:rsid w:val="00A2447B"/>
    <w:rsid w:val="00A24B1B"/>
    <w:rsid w:val="00A25062"/>
    <w:rsid w:val="00A262FE"/>
    <w:rsid w:val="00A30143"/>
    <w:rsid w:val="00A3042A"/>
    <w:rsid w:val="00A33228"/>
    <w:rsid w:val="00A33D2B"/>
    <w:rsid w:val="00A36919"/>
    <w:rsid w:val="00A379BD"/>
    <w:rsid w:val="00A43B39"/>
    <w:rsid w:val="00A468B9"/>
    <w:rsid w:val="00A47645"/>
    <w:rsid w:val="00A51020"/>
    <w:rsid w:val="00A5281D"/>
    <w:rsid w:val="00A53B93"/>
    <w:rsid w:val="00A54091"/>
    <w:rsid w:val="00A54F4D"/>
    <w:rsid w:val="00A55B81"/>
    <w:rsid w:val="00A6405A"/>
    <w:rsid w:val="00A640BB"/>
    <w:rsid w:val="00A64F49"/>
    <w:rsid w:val="00A757E2"/>
    <w:rsid w:val="00A75B54"/>
    <w:rsid w:val="00A76638"/>
    <w:rsid w:val="00A82485"/>
    <w:rsid w:val="00A971BA"/>
    <w:rsid w:val="00AA1644"/>
    <w:rsid w:val="00AA1F6B"/>
    <w:rsid w:val="00AC3193"/>
    <w:rsid w:val="00AC5119"/>
    <w:rsid w:val="00AC5C61"/>
    <w:rsid w:val="00AD0958"/>
    <w:rsid w:val="00AD1398"/>
    <w:rsid w:val="00AD75E5"/>
    <w:rsid w:val="00AE1938"/>
    <w:rsid w:val="00AE4958"/>
    <w:rsid w:val="00AE5A93"/>
    <w:rsid w:val="00B0015D"/>
    <w:rsid w:val="00B00B8B"/>
    <w:rsid w:val="00B01FB9"/>
    <w:rsid w:val="00B02CA5"/>
    <w:rsid w:val="00B03352"/>
    <w:rsid w:val="00B0548A"/>
    <w:rsid w:val="00B11517"/>
    <w:rsid w:val="00B120CB"/>
    <w:rsid w:val="00B156C9"/>
    <w:rsid w:val="00B20552"/>
    <w:rsid w:val="00B23C52"/>
    <w:rsid w:val="00B251EF"/>
    <w:rsid w:val="00B26584"/>
    <w:rsid w:val="00B26BA7"/>
    <w:rsid w:val="00B317C7"/>
    <w:rsid w:val="00B35A8B"/>
    <w:rsid w:val="00B35B88"/>
    <w:rsid w:val="00B37365"/>
    <w:rsid w:val="00B37999"/>
    <w:rsid w:val="00B46D6C"/>
    <w:rsid w:val="00B5096B"/>
    <w:rsid w:val="00B52AD1"/>
    <w:rsid w:val="00B531A9"/>
    <w:rsid w:val="00B541DC"/>
    <w:rsid w:val="00B54344"/>
    <w:rsid w:val="00B55CFB"/>
    <w:rsid w:val="00B57637"/>
    <w:rsid w:val="00B80432"/>
    <w:rsid w:val="00B922BF"/>
    <w:rsid w:val="00BA33AA"/>
    <w:rsid w:val="00BA5DFC"/>
    <w:rsid w:val="00BA66A0"/>
    <w:rsid w:val="00BB66B6"/>
    <w:rsid w:val="00BC1F7A"/>
    <w:rsid w:val="00BC33A5"/>
    <w:rsid w:val="00BC4EAE"/>
    <w:rsid w:val="00BC72E8"/>
    <w:rsid w:val="00BD23C7"/>
    <w:rsid w:val="00BD61BD"/>
    <w:rsid w:val="00BD6797"/>
    <w:rsid w:val="00BE0D11"/>
    <w:rsid w:val="00BE42E9"/>
    <w:rsid w:val="00BE5327"/>
    <w:rsid w:val="00BE552A"/>
    <w:rsid w:val="00BE74B7"/>
    <w:rsid w:val="00BF21B5"/>
    <w:rsid w:val="00BF2B76"/>
    <w:rsid w:val="00BF3149"/>
    <w:rsid w:val="00C009C0"/>
    <w:rsid w:val="00C0112F"/>
    <w:rsid w:val="00C014D4"/>
    <w:rsid w:val="00C041B3"/>
    <w:rsid w:val="00C07073"/>
    <w:rsid w:val="00C1009D"/>
    <w:rsid w:val="00C10E4F"/>
    <w:rsid w:val="00C16D04"/>
    <w:rsid w:val="00C16E5B"/>
    <w:rsid w:val="00C2445C"/>
    <w:rsid w:val="00C24DE3"/>
    <w:rsid w:val="00C27355"/>
    <w:rsid w:val="00C302A6"/>
    <w:rsid w:val="00C32642"/>
    <w:rsid w:val="00C32838"/>
    <w:rsid w:val="00C339D8"/>
    <w:rsid w:val="00C341EB"/>
    <w:rsid w:val="00C35AA1"/>
    <w:rsid w:val="00C4325C"/>
    <w:rsid w:val="00C435BB"/>
    <w:rsid w:val="00C44A70"/>
    <w:rsid w:val="00C47706"/>
    <w:rsid w:val="00C51D55"/>
    <w:rsid w:val="00C546D6"/>
    <w:rsid w:val="00C54E68"/>
    <w:rsid w:val="00C550E2"/>
    <w:rsid w:val="00C6069B"/>
    <w:rsid w:val="00C6236E"/>
    <w:rsid w:val="00C63F38"/>
    <w:rsid w:val="00C73311"/>
    <w:rsid w:val="00C74F41"/>
    <w:rsid w:val="00C76486"/>
    <w:rsid w:val="00C76EDB"/>
    <w:rsid w:val="00C81FD0"/>
    <w:rsid w:val="00C827EB"/>
    <w:rsid w:val="00C8755E"/>
    <w:rsid w:val="00C90C5C"/>
    <w:rsid w:val="00C919F2"/>
    <w:rsid w:val="00C95B9A"/>
    <w:rsid w:val="00C97FF4"/>
    <w:rsid w:val="00CA1771"/>
    <w:rsid w:val="00CA5D35"/>
    <w:rsid w:val="00CA6C74"/>
    <w:rsid w:val="00CB28D5"/>
    <w:rsid w:val="00CB2BC5"/>
    <w:rsid w:val="00CB37A3"/>
    <w:rsid w:val="00CB5BEA"/>
    <w:rsid w:val="00CC0248"/>
    <w:rsid w:val="00CC137D"/>
    <w:rsid w:val="00CD3400"/>
    <w:rsid w:val="00CD529B"/>
    <w:rsid w:val="00CE07B4"/>
    <w:rsid w:val="00CE2003"/>
    <w:rsid w:val="00CE4730"/>
    <w:rsid w:val="00CE72C8"/>
    <w:rsid w:val="00CF0C59"/>
    <w:rsid w:val="00CF3D3F"/>
    <w:rsid w:val="00CF3D43"/>
    <w:rsid w:val="00CF62E5"/>
    <w:rsid w:val="00CF6F2E"/>
    <w:rsid w:val="00D0024E"/>
    <w:rsid w:val="00D00541"/>
    <w:rsid w:val="00D017D5"/>
    <w:rsid w:val="00D02F78"/>
    <w:rsid w:val="00D038D7"/>
    <w:rsid w:val="00D05398"/>
    <w:rsid w:val="00D068D4"/>
    <w:rsid w:val="00D102EE"/>
    <w:rsid w:val="00D15330"/>
    <w:rsid w:val="00D20051"/>
    <w:rsid w:val="00D23D42"/>
    <w:rsid w:val="00D2607F"/>
    <w:rsid w:val="00D33057"/>
    <w:rsid w:val="00D37C2A"/>
    <w:rsid w:val="00D41D42"/>
    <w:rsid w:val="00D421DE"/>
    <w:rsid w:val="00D439C1"/>
    <w:rsid w:val="00D51846"/>
    <w:rsid w:val="00D52977"/>
    <w:rsid w:val="00D53977"/>
    <w:rsid w:val="00D5476A"/>
    <w:rsid w:val="00D60ADD"/>
    <w:rsid w:val="00D627D6"/>
    <w:rsid w:val="00D70C9B"/>
    <w:rsid w:val="00D72659"/>
    <w:rsid w:val="00D73B1C"/>
    <w:rsid w:val="00D74484"/>
    <w:rsid w:val="00D76299"/>
    <w:rsid w:val="00D94911"/>
    <w:rsid w:val="00DB16AE"/>
    <w:rsid w:val="00DB26D0"/>
    <w:rsid w:val="00DB3B96"/>
    <w:rsid w:val="00DB4E9E"/>
    <w:rsid w:val="00DB68F4"/>
    <w:rsid w:val="00DC14B3"/>
    <w:rsid w:val="00DC47A5"/>
    <w:rsid w:val="00DC4F46"/>
    <w:rsid w:val="00DC65AA"/>
    <w:rsid w:val="00DD11B8"/>
    <w:rsid w:val="00DD4A38"/>
    <w:rsid w:val="00DE13AC"/>
    <w:rsid w:val="00DF0E97"/>
    <w:rsid w:val="00DF17F1"/>
    <w:rsid w:val="00DF1BC8"/>
    <w:rsid w:val="00DF4610"/>
    <w:rsid w:val="00DF5B00"/>
    <w:rsid w:val="00DF6210"/>
    <w:rsid w:val="00DF7684"/>
    <w:rsid w:val="00E01A60"/>
    <w:rsid w:val="00E05502"/>
    <w:rsid w:val="00E0795F"/>
    <w:rsid w:val="00E20D1E"/>
    <w:rsid w:val="00E2485E"/>
    <w:rsid w:val="00E25A6A"/>
    <w:rsid w:val="00E2728C"/>
    <w:rsid w:val="00E27B99"/>
    <w:rsid w:val="00E30A54"/>
    <w:rsid w:val="00E351C1"/>
    <w:rsid w:val="00E36C98"/>
    <w:rsid w:val="00E40FB6"/>
    <w:rsid w:val="00E41809"/>
    <w:rsid w:val="00E4183F"/>
    <w:rsid w:val="00E50B03"/>
    <w:rsid w:val="00E524D9"/>
    <w:rsid w:val="00E53BFC"/>
    <w:rsid w:val="00E546B6"/>
    <w:rsid w:val="00E558EC"/>
    <w:rsid w:val="00E57816"/>
    <w:rsid w:val="00E60D1E"/>
    <w:rsid w:val="00E63C29"/>
    <w:rsid w:val="00E70A52"/>
    <w:rsid w:val="00E722BE"/>
    <w:rsid w:val="00E76AE5"/>
    <w:rsid w:val="00E831CE"/>
    <w:rsid w:val="00E8402F"/>
    <w:rsid w:val="00E84A04"/>
    <w:rsid w:val="00E854E4"/>
    <w:rsid w:val="00E85C03"/>
    <w:rsid w:val="00E93B90"/>
    <w:rsid w:val="00EA0628"/>
    <w:rsid w:val="00EA23C2"/>
    <w:rsid w:val="00EA38A2"/>
    <w:rsid w:val="00EA396C"/>
    <w:rsid w:val="00EA3CBA"/>
    <w:rsid w:val="00EA744C"/>
    <w:rsid w:val="00EB0788"/>
    <w:rsid w:val="00EB2370"/>
    <w:rsid w:val="00EB7D44"/>
    <w:rsid w:val="00EB7D64"/>
    <w:rsid w:val="00EC2D16"/>
    <w:rsid w:val="00EC530D"/>
    <w:rsid w:val="00ED186E"/>
    <w:rsid w:val="00ED1B68"/>
    <w:rsid w:val="00EE179E"/>
    <w:rsid w:val="00EE64E3"/>
    <w:rsid w:val="00EE6651"/>
    <w:rsid w:val="00EE7A69"/>
    <w:rsid w:val="00EF15EC"/>
    <w:rsid w:val="00EF168C"/>
    <w:rsid w:val="00EF1FD6"/>
    <w:rsid w:val="00F077AD"/>
    <w:rsid w:val="00F10F7F"/>
    <w:rsid w:val="00F16F82"/>
    <w:rsid w:val="00F17809"/>
    <w:rsid w:val="00F235D4"/>
    <w:rsid w:val="00F237E4"/>
    <w:rsid w:val="00F23C35"/>
    <w:rsid w:val="00F2556E"/>
    <w:rsid w:val="00F2770C"/>
    <w:rsid w:val="00F34AFE"/>
    <w:rsid w:val="00F35C0E"/>
    <w:rsid w:val="00F403B7"/>
    <w:rsid w:val="00F41CEE"/>
    <w:rsid w:val="00F42CF0"/>
    <w:rsid w:val="00F4663F"/>
    <w:rsid w:val="00F5058E"/>
    <w:rsid w:val="00F511BD"/>
    <w:rsid w:val="00F52B3E"/>
    <w:rsid w:val="00F5342C"/>
    <w:rsid w:val="00F53543"/>
    <w:rsid w:val="00F54CBB"/>
    <w:rsid w:val="00F571D0"/>
    <w:rsid w:val="00F578EF"/>
    <w:rsid w:val="00F60238"/>
    <w:rsid w:val="00F603D7"/>
    <w:rsid w:val="00F62BF0"/>
    <w:rsid w:val="00F702C4"/>
    <w:rsid w:val="00F728FE"/>
    <w:rsid w:val="00F75134"/>
    <w:rsid w:val="00F75D63"/>
    <w:rsid w:val="00F76265"/>
    <w:rsid w:val="00F7673F"/>
    <w:rsid w:val="00F779C6"/>
    <w:rsid w:val="00F8052A"/>
    <w:rsid w:val="00F857FD"/>
    <w:rsid w:val="00F9717A"/>
    <w:rsid w:val="00FA00D0"/>
    <w:rsid w:val="00FB2398"/>
    <w:rsid w:val="00FB269B"/>
    <w:rsid w:val="00FB3A32"/>
    <w:rsid w:val="00FB41EF"/>
    <w:rsid w:val="00FB4F5E"/>
    <w:rsid w:val="00FC522D"/>
    <w:rsid w:val="00FC5990"/>
    <w:rsid w:val="00FC6FA8"/>
    <w:rsid w:val="00FC7900"/>
    <w:rsid w:val="00FD31DC"/>
    <w:rsid w:val="00FD34D4"/>
    <w:rsid w:val="00FD568E"/>
    <w:rsid w:val="00FD62D4"/>
    <w:rsid w:val="00FE07E8"/>
    <w:rsid w:val="00FE0BF4"/>
    <w:rsid w:val="00FE0FE2"/>
    <w:rsid w:val="00FE140D"/>
    <w:rsid w:val="00FE50B1"/>
    <w:rsid w:val="00FE5F9E"/>
    <w:rsid w:val="00FE7518"/>
    <w:rsid w:val="00FF09D0"/>
    <w:rsid w:val="00FF401A"/>
    <w:rsid w:val="00FF428D"/>
    <w:rsid w:val="00FF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03"/>
    <w:pPr>
      <w:widowControl w:val="0"/>
      <w:jc w:val="both"/>
    </w:pPr>
  </w:style>
  <w:style w:type="paragraph" w:styleId="1">
    <w:name w:val="heading 1"/>
    <w:basedOn w:val="a"/>
    <w:next w:val="a"/>
    <w:link w:val="10"/>
    <w:uiPriority w:val="9"/>
    <w:qFormat/>
    <w:rsid w:val="00956E0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66F3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5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E03"/>
    <w:rPr>
      <w:rFonts w:asciiTheme="majorHAnsi" w:eastAsiaTheme="majorEastAsia" w:hAnsiTheme="majorHAnsi" w:cstheme="majorBidi"/>
      <w:sz w:val="24"/>
      <w:szCs w:val="24"/>
    </w:rPr>
  </w:style>
  <w:style w:type="character" w:styleId="a3">
    <w:name w:val="Hyperlink"/>
    <w:basedOn w:val="a0"/>
    <w:uiPriority w:val="99"/>
    <w:unhideWhenUsed/>
    <w:rsid w:val="00956E03"/>
    <w:rPr>
      <w:color w:val="0000FF" w:themeColor="hyperlink"/>
      <w:u w:val="single"/>
    </w:rPr>
  </w:style>
  <w:style w:type="paragraph" w:styleId="a4">
    <w:name w:val="header"/>
    <w:basedOn w:val="a"/>
    <w:link w:val="a5"/>
    <w:uiPriority w:val="99"/>
    <w:unhideWhenUsed/>
    <w:rsid w:val="00C341EB"/>
    <w:pPr>
      <w:tabs>
        <w:tab w:val="center" w:pos="4252"/>
        <w:tab w:val="right" w:pos="8504"/>
      </w:tabs>
      <w:snapToGrid w:val="0"/>
    </w:pPr>
  </w:style>
  <w:style w:type="character" w:customStyle="1" w:styleId="a5">
    <w:name w:val="ヘッダー (文字)"/>
    <w:basedOn w:val="a0"/>
    <w:link w:val="a4"/>
    <w:uiPriority w:val="99"/>
    <w:rsid w:val="00C341EB"/>
  </w:style>
  <w:style w:type="paragraph" w:styleId="a6">
    <w:name w:val="footer"/>
    <w:basedOn w:val="a"/>
    <w:link w:val="a7"/>
    <w:uiPriority w:val="99"/>
    <w:unhideWhenUsed/>
    <w:rsid w:val="00C341EB"/>
    <w:pPr>
      <w:tabs>
        <w:tab w:val="center" w:pos="4252"/>
        <w:tab w:val="right" w:pos="8504"/>
      </w:tabs>
      <w:snapToGrid w:val="0"/>
    </w:pPr>
  </w:style>
  <w:style w:type="character" w:customStyle="1" w:styleId="a7">
    <w:name w:val="フッター (文字)"/>
    <w:basedOn w:val="a0"/>
    <w:link w:val="a6"/>
    <w:uiPriority w:val="99"/>
    <w:rsid w:val="00C341EB"/>
  </w:style>
  <w:style w:type="paragraph" w:styleId="a8">
    <w:name w:val="List Paragraph"/>
    <w:basedOn w:val="a"/>
    <w:uiPriority w:val="34"/>
    <w:qFormat/>
    <w:rsid w:val="006B49F5"/>
    <w:pPr>
      <w:ind w:leftChars="400" w:left="960"/>
    </w:pPr>
    <w:rPr>
      <w:sz w:val="24"/>
      <w:szCs w:val="24"/>
    </w:rPr>
  </w:style>
  <w:style w:type="character" w:customStyle="1" w:styleId="20">
    <w:name w:val="見出し 2 (文字)"/>
    <w:basedOn w:val="a0"/>
    <w:link w:val="2"/>
    <w:uiPriority w:val="9"/>
    <w:rsid w:val="00166F32"/>
    <w:rPr>
      <w:rFonts w:asciiTheme="majorHAnsi" w:eastAsiaTheme="majorEastAsia" w:hAnsiTheme="majorHAnsi" w:cstheme="majorBidi"/>
    </w:rPr>
  </w:style>
  <w:style w:type="character" w:styleId="a9">
    <w:name w:val="FollowedHyperlink"/>
    <w:basedOn w:val="a0"/>
    <w:uiPriority w:val="99"/>
    <w:semiHidden/>
    <w:unhideWhenUsed/>
    <w:rsid w:val="00F75134"/>
    <w:rPr>
      <w:color w:val="800080" w:themeColor="followedHyperlink"/>
      <w:u w:val="single"/>
    </w:rPr>
  </w:style>
  <w:style w:type="character" w:styleId="aa">
    <w:name w:val="Strong"/>
    <w:basedOn w:val="a0"/>
    <w:uiPriority w:val="22"/>
    <w:qFormat/>
    <w:rsid w:val="00987A56"/>
    <w:rPr>
      <w:b/>
      <w:bCs/>
    </w:rPr>
  </w:style>
  <w:style w:type="paragraph" w:styleId="ab">
    <w:name w:val="footnote text"/>
    <w:basedOn w:val="a"/>
    <w:link w:val="ac"/>
    <w:uiPriority w:val="99"/>
    <w:unhideWhenUsed/>
    <w:rsid w:val="00DF5B00"/>
    <w:pPr>
      <w:snapToGrid w:val="0"/>
      <w:jc w:val="left"/>
    </w:pPr>
  </w:style>
  <w:style w:type="character" w:customStyle="1" w:styleId="ac">
    <w:name w:val="脚注文字列 (文字)"/>
    <w:basedOn w:val="a0"/>
    <w:link w:val="ab"/>
    <w:uiPriority w:val="99"/>
    <w:rsid w:val="00DF5B00"/>
  </w:style>
  <w:style w:type="character" w:styleId="ad">
    <w:name w:val="footnote reference"/>
    <w:basedOn w:val="a0"/>
    <w:uiPriority w:val="99"/>
    <w:semiHidden/>
    <w:unhideWhenUsed/>
    <w:rsid w:val="00DF5B00"/>
    <w:rPr>
      <w:vertAlign w:val="superscript"/>
    </w:rPr>
  </w:style>
  <w:style w:type="paragraph" w:styleId="ae">
    <w:name w:val="Plain Text"/>
    <w:basedOn w:val="a"/>
    <w:link w:val="af"/>
    <w:uiPriority w:val="99"/>
    <w:unhideWhenUsed/>
    <w:rsid w:val="005058F4"/>
    <w:pPr>
      <w:spacing w:line="240" w:lineRule="atLeast"/>
      <w:ind w:firstLineChars="100" w:firstLine="100"/>
    </w:pPr>
    <w:rPr>
      <w:rFonts w:ascii="ＭＳ 明朝" w:eastAsia="ＭＳ 明朝" w:hAnsi="Courier New" w:cs="Courier New"/>
      <w:szCs w:val="21"/>
    </w:rPr>
  </w:style>
  <w:style w:type="character" w:customStyle="1" w:styleId="af">
    <w:name w:val="書式なし (文字)"/>
    <w:basedOn w:val="a0"/>
    <w:link w:val="ae"/>
    <w:uiPriority w:val="99"/>
    <w:rsid w:val="005058F4"/>
    <w:rPr>
      <w:rFonts w:ascii="ＭＳ 明朝" w:eastAsia="ＭＳ 明朝" w:hAnsi="Courier New" w:cs="Courier New"/>
      <w:szCs w:val="21"/>
    </w:rPr>
  </w:style>
  <w:style w:type="character" w:customStyle="1" w:styleId="CharStyle4">
    <w:name w:val="Char Style 4"/>
    <w:basedOn w:val="a0"/>
    <w:uiPriority w:val="99"/>
    <w:rsid w:val="00111A13"/>
    <w:rPr>
      <w:spacing w:val="0"/>
      <w:sz w:val="13"/>
      <w:szCs w:val="13"/>
      <w:shd w:val="clear" w:color="auto" w:fill="FFFFFF"/>
    </w:rPr>
  </w:style>
  <w:style w:type="paragraph" w:customStyle="1" w:styleId="Default">
    <w:name w:val="Default"/>
    <w:rsid w:val="00C07073"/>
    <w:pPr>
      <w:widowControl w:val="0"/>
      <w:autoSpaceDE w:val="0"/>
      <w:autoSpaceDN w:val="0"/>
      <w:adjustRightInd w:val="0"/>
    </w:pPr>
    <w:rPr>
      <w:rFonts w:ascii="Arial" w:hAnsi="Arial" w:cs="Arial"/>
      <w:color w:val="000000"/>
      <w:kern w:val="0"/>
      <w:sz w:val="24"/>
      <w:szCs w:val="24"/>
    </w:rPr>
  </w:style>
  <w:style w:type="character" w:customStyle="1" w:styleId="30">
    <w:name w:val="見出し 3 (文字)"/>
    <w:basedOn w:val="a0"/>
    <w:link w:val="3"/>
    <w:uiPriority w:val="9"/>
    <w:rsid w:val="00914540"/>
    <w:rPr>
      <w:rFonts w:asciiTheme="majorHAnsi" w:eastAsiaTheme="majorEastAsia" w:hAnsiTheme="majorHAnsi" w:cstheme="majorBidi"/>
    </w:rPr>
  </w:style>
  <w:style w:type="character" w:customStyle="1" w:styleId="gd">
    <w:name w:val="gd"/>
    <w:basedOn w:val="a0"/>
    <w:rsid w:val="00914540"/>
  </w:style>
  <w:style w:type="paragraph" w:styleId="af0">
    <w:name w:val="endnote text"/>
    <w:basedOn w:val="a"/>
    <w:link w:val="af1"/>
    <w:uiPriority w:val="99"/>
    <w:unhideWhenUsed/>
    <w:rsid w:val="00070944"/>
    <w:pPr>
      <w:snapToGrid w:val="0"/>
      <w:jc w:val="left"/>
    </w:pPr>
  </w:style>
  <w:style w:type="character" w:customStyle="1" w:styleId="af1">
    <w:name w:val="文末脚注文字列 (文字)"/>
    <w:basedOn w:val="a0"/>
    <w:link w:val="af0"/>
    <w:uiPriority w:val="99"/>
    <w:rsid w:val="00070944"/>
  </w:style>
  <w:style w:type="character" w:styleId="af2">
    <w:name w:val="endnote reference"/>
    <w:basedOn w:val="a0"/>
    <w:uiPriority w:val="99"/>
    <w:semiHidden/>
    <w:unhideWhenUsed/>
    <w:rsid w:val="00070944"/>
    <w:rPr>
      <w:vertAlign w:val="superscript"/>
    </w:rPr>
  </w:style>
  <w:style w:type="character" w:customStyle="1" w:styleId="st1">
    <w:name w:val="st1"/>
    <w:rsid w:val="007F04EC"/>
  </w:style>
  <w:style w:type="paragraph" w:styleId="af3">
    <w:name w:val="Balloon Text"/>
    <w:basedOn w:val="a"/>
    <w:link w:val="af4"/>
    <w:uiPriority w:val="99"/>
    <w:semiHidden/>
    <w:unhideWhenUsed/>
    <w:rsid w:val="006745F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745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03"/>
    <w:pPr>
      <w:widowControl w:val="0"/>
      <w:jc w:val="both"/>
    </w:pPr>
  </w:style>
  <w:style w:type="paragraph" w:styleId="1">
    <w:name w:val="heading 1"/>
    <w:basedOn w:val="a"/>
    <w:next w:val="a"/>
    <w:link w:val="10"/>
    <w:uiPriority w:val="9"/>
    <w:qFormat/>
    <w:rsid w:val="00956E0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66F3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5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E03"/>
    <w:rPr>
      <w:rFonts w:asciiTheme="majorHAnsi" w:eastAsiaTheme="majorEastAsia" w:hAnsiTheme="majorHAnsi" w:cstheme="majorBidi"/>
      <w:sz w:val="24"/>
      <w:szCs w:val="24"/>
    </w:rPr>
  </w:style>
  <w:style w:type="character" w:styleId="a3">
    <w:name w:val="Hyperlink"/>
    <w:basedOn w:val="a0"/>
    <w:uiPriority w:val="99"/>
    <w:unhideWhenUsed/>
    <w:rsid w:val="00956E03"/>
    <w:rPr>
      <w:color w:val="0000FF" w:themeColor="hyperlink"/>
      <w:u w:val="single"/>
    </w:rPr>
  </w:style>
  <w:style w:type="paragraph" w:styleId="a4">
    <w:name w:val="header"/>
    <w:basedOn w:val="a"/>
    <w:link w:val="a5"/>
    <w:uiPriority w:val="99"/>
    <w:unhideWhenUsed/>
    <w:rsid w:val="00C341EB"/>
    <w:pPr>
      <w:tabs>
        <w:tab w:val="center" w:pos="4252"/>
        <w:tab w:val="right" w:pos="8504"/>
      </w:tabs>
      <w:snapToGrid w:val="0"/>
    </w:pPr>
  </w:style>
  <w:style w:type="character" w:customStyle="1" w:styleId="a5">
    <w:name w:val="ヘッダー (文字)"/>
    <w:basedOn w:val="a0"/>
    <w:link w:val="a4"/>
    <w:uiPriority w:val="99"/>
    <w:rsid w:val="00C341EB"/>
  </w:style>
  <w:style w:type="paragraph" w:styleId="a6">
    <w:name w:val="footer"/>
    <w:basedOn w:val="a"/>
    <w:link w:val="a7"/>
    <w:uiPriority w:val="99"/>
    <w:unhideWhenUsed/>
    <w:rsid w:val="00C341EB"/>
    <w:pPr>
      <w:tabs>
        <w:tab w:val="center" w:pos="4252"/>
        <w:tab w:val="right" w:pos="8504"/>
      </w:tabs>
      <w:snapToGrid w:val="0"/>
    </w:pPr>
  </w:style>
  <w:style w:type="character" w:customStyle="1" w:styleId="a7">
    <w:name w:val="フッター (文字)"/>
    <w:basedOn w:val="a0"/>
    <w:link w:val="a6"/>
    <w:uiPriority w:val="99"/>
    <w:rsid w:val="00C341EB"/>
  </w:style>
  <w:style w:type="paragraph" w:styleId="a8">
    <w:name w:val="List Paragraph"/>
    <w:basedOn w:val="a"/>
    <w:uiPriority w:val="34"/>
    <w:qFormat/>
    <w:rsid w:val="006B49F5"/>
    <w:pPr>
      <w:ind w:leftChars="400" w:left="960"/>
    </w:pPr>
    <w:rPr>
      <w:sz w:val="24"/>
      <w:szCs w:val="24"/>
    </w:rPr>
  </w:style>
  <w:style w:type="character" w:customStyle="1" w:styleId="20">
    <w:name w:val="見出し 2 (文字)"/>
    <w:basedOn w:val="a0"/>
    <w:link w:val="2"/>
    <w:uiPriority w:val="9"/>
    <w:rsid w:val="00166F32"/>
    <w:rPr>
      <w:rFonts w:asciiTheme="majorHAnsi" w:eastAsiaTheme="majorEastAsia" w:hAnsiTheme="majorHAnsi" w:cstheme="majorBidi"/>
    </w:rPr>
  </w:style>
  <w:style w:type="character" w:styleId="a9">
    <w:name w:val="FollowedHyperlink"/>
    <w:basedOn w:val="a0"/>
    <w:uiPriority w:val="99"/>
    <w:semiHidden/>
    <w:unhideWhenUsed/>
    <w:rsid w:val="00F75134"/>
    <w:rPr>
      <w:color w:val="800080" w:themeColor="followedHyperlink"/>
      <w:u w:val="single"/>
    </w:rPr>
  </w:style>
  <w:style w:type="character" w:styleId="aa">
    <w:name w:val="Strong"/>
    <w:basedOn w:val="a0"/>
    <w:uiPriority w:val="22"/>
    <w:qFormat/>
    <w:rsid w:val="00987A56"/>
    <w:rPr>
      <w:b/>
      <w:bCs/>
    </w:rPr>
  </w:style>
  <w:style w:type="paragraph" w:styleId="ab">
    <w:name w:val="footnote text"/>
    <w:basedOn w:val="a"/>
    <w:link w:val="ac"/>
    <w:uiPriority w:val="99"/>
    <w:unhideWhenUsed/>
    <w:rsid w:val="00DF5B00"/>
    <w:pPr>
      <w:snapToGrid w:val="0"/>
      <w:jc w:val="left"/>
    </w:pPr>
  </w:style>
  <w:style w:type="character" w:customStyle="1" w:styleId="ac">
    <w:name w:val="脚注文字列 (文字)"/>
    <w:basedOn w:val="a0"/>
    <w:link w:val="ab"/>
    <w:uiPriority w:val="99"/>
    <w:rsid w:val="00DF5B00"/>
  </w:style>
  <w:style w:type="character" w:styleId="ad">
    <w:name w:val="footnote reference"/>
    <w:basedOn w:val="a0"/>
    <w:uiPriority w:val="99"/>
    <w:semiHidden/>
    <w:unhideWhenUsed/>
    <w:rsid w:val="00DF5B00"/>
    <w:rPr>
      <w:vertAlign w:val="superscript"/>
    </w:rPr>
  </w:style>
  <w:style w:type="paragraph" w:styleId="ae">
    <w:name w:val="Plain Text"/>
    <w:basedOn w:val="a"/>
    <w:link w:val="af"/>
    <w:uiPriority w:val="99"/>
    <w:unhideWhenUsed/>
    <w:rsid w:val="005058F4"/>
    <w:pPr>
      <w:spacing w:line="240" w:lineRule="atLeast"/>
      <w:ind w:firstLineChars="100" w:firstLine="100"/>
    </w:pPr>
    <w:rPr>
      <w:rFonts w:ascii="ＭＳ 明朝" w:eastAsia="ＭＳ 明朝" w:hAnsi="Courier New" w:cs="Courier New"/>
      <w:szCs w:val="21"/>
    </w:rPr>
  </w:style>
  <w:style w:type="character" w:customStyle="1" w:styleId="af">
    <w:name w:val="書式なし (文字)"/>
    <w:basedOn w:val="a0"/>
    <w:link w:val="ae"/>
    <w:uiPriority w:val="99"/>
    <w:rsid w:val="005058F4"/>
    <w:rPr>
      <w:rFonts w:ascii="ＭＳ 明朝" w:eastAsia="ＭＳ 明朝" w:hAnsi="Courier New" w:cs="Courier New"/>
      <w:szCs w:val="21"/>
    </w:rPr>
  </w:style>
  <w:style w:type="character" w:customStyle="1" w:styleId="CharStyle4">
    <w:name w:val="Char Style 4"/>
    <w:basedOn w:val="a0"/>
    <w:uiPriority w:val="99"/>
    <w:rsid w:val="00111A13"/>
    <w:rPr>
      <w:spacing w:val="0"/>
      <w:sz w:val="13"/>
      <w:szCs w:val="13"/>
      <w:shd w:val="clear" w:color="auto" w:fill="FFFFFF"/>
    </w:rPr>
  </w:style>
  <w:style w:type="paragraph" w:customStyle="1" w:styleId="Default">
    <w:name w:val="Default"/>
    <w:rsid w:val="00C07073"/>
    <w:pPr>
      <w:widowControl w:val="0"/>
      <w:autoSpaceDE w:val="0"/>
      <w:autoSpaceDN w:val="0"/>
      <w:adjustRightInd w:val="0"/>
    </w:pPr>
    <w:rPr>
      <w:rFonts w:ascii="Arial" w:hAnsi="Arial" w:cs="Arial"/>
      <w:color w:val="000000"/>
      <w:kern w:val="0"/>
      <w:sz w:val="24"/>
      <w:szCs w:val="24"/>
    </w:rPr>
  </w:style>
  <w:style w:type="character" w:customStyle="1" w:styleId="30">
    <w:name w:val="見出し 3 (文字)"/>
    <w:basedOn w:val="a0"/>
    <w:link w:val="3"/>
    <w:uiPriority w:val="9"/>
    <w:rsid w:val="00914540"/>
    <w:rPr>
      <w:rFonts w:asciiTheme="majorHAnsi" w:eastAsiaTheme="majorEastAsia" w:hAnsiTheme="majorHAnsi" w:cstheme="majorBidi"/>
    </w:rPr>
  </w:style>
  <w:style w:type="character" w:customStyle="1" w:styleId="gd">
    <w:name w:val="gd"/>
    <w:basedOn w:val="a0"/>
    <w:rsid w:val="00914540"/>
  </w:style>
  <w:style w:type="paragraph" w:styleId="af0">
    <w:name w:val="endnote text"/>
    <w:basedOn w:val="a"/>
    <w:link w:val="af1"/>
    <w:uiPriority w:val="99"/>
    <w:unhideWhenUsed/>
    <w:rsid w:val="00070944"/>
    <w:pPr>
      <w:snapToGrid w:val="0"/>
      <w:jc w:val="left"/>
    </w:pPr>
  </w:style>
  <w:style w:type="character" w:customStyle="1" w:styleId="af1">
    <w:name w:val="文末脚注文字列 (文字)"/>
    <w:basedOn w:val="a0"/>
    <w:link w:val="af0"/>
    <w:uiPriority w:val="99"/>
    <w:rsid w:val="00070944"/>
  </w:style>
  <w:style w:type="character" w:styleId="af2">
    <w:name w:val="endnote reference"/>
    <w:basedOn w:val="a0"/>
    <w:uiPriority w:val="99"/>
    <w:semiHidden/>
    <w:unhideWhenUsed/>
    <w:rsid w:val="00070944"/>
    <w:rPr>
      <w:vertAlign w:val="superscript"/>
    </w:rPr>
  </w:style>
  <w:style w:type="character" w:customStyle="1" w:styleId="st1">
    <w:name w:val="st1"/>
    <w:rsid w:val="007F04EC"/>
  </w:style>
  <w:style w:type="paragraph" w:styleId="af3">
    <w:name w:val="Balloon Text"/>
    <w:basedOn w:val="a"/>
    <w:link w:val="af4"/>
    <w:uiPriority w:val="99"/>
    <w:semiHidden/>
    <w:unhideWhenUsed/>
    <w:rsid w:val="006745F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74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12980">
      <w:bodyDiv w:val="1"/>
      <w:marLeft w:val="0"/>
      <w:marRight w:val="0"/>
      <w:marTop w:val="0"/>
      <w:marBottom w:val="0"/>
      <w:divBdr>
        <w:top w:val="none" w:sz="0" w:space="0" w:color="auto"/>
        <w:left w:val="none" w:sz="0" w:space="0" w:color="auto"/>
        <w:bottom w:val="none" w:sz="0" w:space="0" w:color="auto"/>
        <w:right w:val="none" w:sz="0" w:space="0" w:color="auto"/>
      </w:divBdr>
    </w:div>
    <w:div w:id="13770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l.ndl.go.jp/view/download/digidepo_11117154_po_02760102.pdf?contentNo=1&amp;alternativ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doku.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itsumei.ac.jp/acd/cg/law/lex/96-3/tanimot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doku.de/" TargetMode="External"/><Relationship Id="rId5" Type="http://schemas.openxmlformats.org/officeDocument/2006/relationships/settings" Target="settings.xml"/><Relationship Id="rId15" Type="http://schemas.openxmlformats.org/officeDocument/2006/relationships/hyperlink" Target="http://www.moj.go.jp/content/000121270.pdf" TargetMode="External"/><Relationship Id="rId10" Type="http://schemas.openxmlformats.org/officeDocument/2006/relationships/hyperlink" Target="http://www.wadoku.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facebook.com" TargetMode="External"/><Relationship Id="rId14" Type="http://schemas.openxmlformats.org/officeDocument/2006/relationships/hyperlink" Target="https://eprints.lib.hokudai.ac.jp/dspace/handle/2115/721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mwi.de/Redaktion/DE/Publikationen/Digitale-Welt/gruenbuch-digitale-plattformen.pdf?__blob=publicationFile&amp;v=32" TargetMode="External"/><Relationship Id="rId2" Type="http://schemas.openxmlformats.org/officeDocument/2006/relationships/hyperlink" Target="http://www.wadoku.de/" TargetMode="External"/><Relationship Id="rId1" Type="http://schemas.openxmlformats.org/officeDocument/2006/relationships/hyperlink" Target="http://hbfm.link/4952" TargetMode="External"/><Relationship Id="rId5" Type="http://schemas.openxmlformats.org/officeDocument/2006/relationships/hyperlink" Target="https://www.jftc.go.jp/cprc/koukai/sympo/181207sympo.html" TargetMode="External"/><Relationship Id="rId4" Type="http://schemas.openxmlformats.org/officeDocument/2006/relationships/hyperlink" Target="http://www.servat.unibe.ch/dfr/bv065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906C-1773-4838-A880-E236C299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30</Pages>
  <Words>4757</Words>
  <Characters>27117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Funada Masayuki</cp:lastModifiedBy>
  <cp:revision>38</cp:revision>
  <dcterms:created xsi:type="dcterms:W3CDTF">2020-04-01T11:54:00Z</dcterms:created>
  <dcterms:modified xsi:type="dcterms:W3CDTF">2020-12-27T12:51:00Z</dcterms:modified>
</cp:coreProperties>
</file>