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9C" w:rsidRPr="008C4DFD" w:rsidRDefault="005F5D9C" w:rsidP="0044525C"/>
    <w:p w:rsidR="0044525C" w:rsidRDefault="00D26E3A" w:rsidP="0044525C">
      <w:pPr>
        <w:pStyle w:val="1"/>
        <w:rPr>
          <w:rFonts w:ascii="ＭＳ 明朝" w:eastAsia="ＭＳ 明朝" w:hAnsi="ＭＳ 明朝"/>
          <w:b/>
          <w:sz w:val="21"/>
          <w:szCs w:val="21"/>
        </w:rPr>
      </w:pPr>
      <w:r>
        <w:rPr>
          <w:rFonts w:ascii="ＭＳ 明朝" w:eastAsia="ＭＳ 明朝" w:hAnsi="ＭＳ 明朝" w:hint="eastAsia"/>
          <w:b/>
          <w:sz w:val="21"/>
          <w:szCs w:val="21"/>
        </w:rPr>
        <w:t>「縦のカルテル ---2017年学会シンポ</w:t>
      </w:r>
      <w:r w:rsidR="0044525C">
        <w:rPr>
          <w:rFonts w:ascii="ＭＳ 明朝" w:eastAsia="ＭＳ 明朝" w:hAnsi="ＭＳ 明朝" w:hint="eastAsia"/>
          <w:b/>
          <w:sz w:val="21"/>
          <w:szCs w:val="21"/>
        </w:rPr>
        <w:t>における私の</w:t>
      </w:r>
      <w:r w:rsidR="0044525C" w:rsidRPr="0098708A">
        <w:rPr>
          <w:rFonts w:ascii="ＭＳ 明朝" w:eastAsia="ＭＳ 明朝" w:hAnsi="ＭＳ 明朝" w:hint="eastAsia"/>
          <w:b/>
          <w:sz w:val="21"/>
          <w:szCs w:val="21"/>
        </w:rPr>
        <w:t>コメント</w:t>
      </w:r>
      <w:r>
        <w:rPr>
          <w:rFonts w:ascii="ＭＳ 明朝" w:eastAsia="ＭＳ 明朝" w:hAnsi="ＭＳ 明朝" w:hint="eastAsia"/>
          <w:b/>
          <w:sz w:val="21"/>
          <w:szCs w:val="21"/>
        </w:rPr>
        <w:t>」</w:t>
      </w:r>
    </w:p>
    <w:p w:rsidR="00D26E3A" w:rsidRDefault="00D26E3A" w:rsidP="00D26E3A"/>
    <w:p w:rsidR="00D26E3A" w:rsidRPr="00D26E3A" w:rsidRDefault="00D26E3A" w:rsidP="00D26E3A">
      <w:r>
        <w:t xml:space="preserve">　</w:t>
      </w:r>
      <w:r>
        <w:t>2</w:t>
      </w:r>
      <w:r w:rsidRPr="00D26E3A">
        <w:t>017</w:t>
      </w:r>
      <w:r w:rsidRPr="00D26E3A">
        <w:t>年</w:t>
      </w:r>
      <w:r w:rsidRPr="00D26E3A">
        <w:t>10</w:t>
      </w:r>
      <w:r w:rsidRPr="00D26E3A">
        <w:t>月に行われた</w:t>
      </w:r>
      <w:r w:rsidRPr="00D26E3A">
        <w:rPr>
          <w:rFonts w:hint="eastAsia"/>
        </w:rPr>
        <w:t>日本経済法学会の大会シンポジウム「独占禁止法</w:t>
      </w:r>
      <w:r w:rsidRPr="00D26E3A">
        <w:rPr>
          <w:rFonts w:hint="eastAsia"/>
        </w:rPr>
        <w:t>70</w:t>
      </w:r>
      <w:r w:rsidRPr="00D26E3A">
        <w:rPr>
          <w:rFonts w:hint="eastAsia"/>
        </w:rPr>
        <w:t>年」において、私は午前の部（独占禁止法の実体規定の検討）のコメントを行った。</w:t>
      </w:r>
      <w:r>
        <w:rPr>
          <w:rFonts w:hint="eastAsia"/>
        </w:rPr>
        <w:t>以下は、そのために用意した原稿に、大会後若干の修正を施したものである。</w:t>
      </w:r>
    </w:p>
    <w:p w:rsidR="0044525C" w:rsidRPr="00D26E3A" w:rsidRDefault="0044525C" w:rsidP="00D26E3A"/>
    <w:p w:rsidR="0044525C" w:rsidRPr="0098708A" w:rsidRDefault="0044525C" w:rsidP="0044525C">
      <w:pPr>
        <w:pStyle w:val="2"/>
        <w:rPr>
          <w:rFonts w:ascii="ＭＳ 明朝" w:eastAsia="ＭＳ 明朝" w:hAnsi="ＭＳ 明朝"/>
          <w:b/>
          <w:szCs w:val="21"/>
        </w:rPr>
      </w:pPr>
      <w:r w:rsidRPr="0098708A">
        <w:rPr>
          <w:rFonts w:ascii="ＭＳ 明朝" w:eastAsia="ＭＳ 明朝" w:hAnsi="ＭＳ 明朝" w:hint="eastAsia"/>
          <w:b/>
          <w:szCs w:val="21"/>
        </w:rPr>
        <w:t>１．行為主体、行為要件、効果要件、正当化事由の４分類</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t>大会シンポジウムにおいて、山部俊文会員から、独禁法違反行為に係る要件を、行為主体、行為要件、効果要件、正当化事由の４つに整理することでよいか、という問いかけがあった。</w:t>
      </w:r>
    </w:p>
    <w:p w:rsidR="0044525C" w:rsidRPr="0098708A" w:rsidRDefault="0044525C" w:rsidP="0044525C">
      <w:pPr>
        <w:rPr>
          <w:rFonts w:ascii="ＭＳ 明朝" w:hAnsi="ＭＳ 明朝"/>
          <w:szCs w:val="21"/>
        </w:rPr>
      </w:pPr>
      <w:r w:rsidRPr="0098708A">
        <w:rPr>
          <w:rFonts w:ascii="ＭＳ 明朝" w:hAnsi="ＭＳ 明朝" w:hint="eastAsia"/>
          <w:szCs w:val="21"/>
        </w:rPr>
        <w:t xml:space="preserve">　重要な問題提起であるが、私は、この4つに分解することは、誤解を生むおそれがあり、整理の仕方として妥当とは思われない。</w:t>
      </w:r>
    </w:p>
    <w:p w:rsidR="0044525C" w:rsidRPr="0098708A" w:rsidRDefault="0044525C" w:rsidP="0044525C">
      <w:pPr>
        <w:rPr>
          <w:rFonts w:ascii="ＭＳ 明朝" w:hAnsi="ＭＳ 明朝"/>
          <w:szCs w:val="21"/>
        </w:rPr>
      </w:pPr>
      <w:r w:rsidRPr="0098708A">
        <w:rPr>
          <w:rFonts w:ascii="ＭＳ 明朝" w:hAnsi="ＭＳ 明朝" w:hint="eastAsia"/>
          <w:szCs w:val="21"/>
        </w:rPr>
        <w:t xml:space="preserve">　独禁法違反行為は、従来からの整理のとおり、行為主体（「事業者」、「事業者団体」等）、行為要件、効果要件の3つに分けられる</w:t>
      </w:r>
      <w:r>
        <w:rPr>
          <w:rFonts w:ascii="ＭＳ 明朝" w:hAnsi="ＭＳ 明朝" w:hint="eastAsia"/>
          <w:szCs w:val="21"/>
        </w:rPr>
        <w:t>、</w:t>
      </w:r>
      <w:r w:rsidRPr="0098708A">
        <w:rPr>
          <w:rFonts w:ascii="ＭＳ 明朝" w:hAnsi="ＭＳ 明朝" w:hint="eastAsia"/>
          <w:szCs w:val="21"/>
        </w:rPr>
        <w:t>とすべきである。</w:t>
      </w:r>
      <w:r>
        <w:rPr>
          <w:rFonts w:ascii="ＭＳ 明朝" w:hAnsi="ＭＳ 明朝" w:hint="eastAsia"/>
          <w:szCs w:val="21"/>
        </w:rPr>
        <w:t>あるいは、</w:t>
      </w:r>
      <w:r w:rsidRPr="0098708A">
        <w:rPr>
          <w:rFonts w:ascii="ＭＳ 明朝" w:hAnsi="ＭＳ 明朝" w:hint="eastAsia"/>
          <w:szCs w:val="21"/>
        </w:rPr>
        <w:t>不当な取引制限について正確に言えば、「公共の利益」要件を加えて4</w:t>
      </w:r>
      <w:r>
        <w:rPr>
          <w:rFonts w:ascii="ＭＳ 明朝" w:hAnsi="ＭＳ 明朝" w:hint="eastAsia"/>
          <w:szCs w:val="21"/>
        </w:rPr>
        <w:t>つとい</w:t>
      </w:r>
      <w:r w:rsidRPr="0098708A">
        <w:rPr>
          <w:rFonts w:ascii="ＭＳ 明朝" w:hAnsi="ＭＳ 明朝" w:hint="eastAsia"/>
          <w:szCs w:val="21"/>
        </w:rPr>
        <w:t>うべきである。</w:t>
      </w:r>
    </w:p>
    <w:p w:rsidR="0044525C" w:rsidRPr="0098708A" w:rsidRDefault="0044525C" w:rsidP="0044525C">
      <w:pPr>
        <w:rPr>
          <w:rFonts w:ascii="ＭＳ 明朝" w:hAnsi="ＭＳ 明朝"/>
          <w:szCs w:val="21"/>
        </w:rPr>
      </w:pPr>
      <w:r w:rsidRPr="0098708A">
        <w:rPr>
          <w:rFonts w:ascii="ＭＳ 明朝" w:hAnsi="ＭＳ 明朝" w:hint="eastAsia"/>
          <w:szCs w:val="21"/>
        </w:rPr>
        <w:t xml:space="preserve">　正当化事由を、効果要件と切り離して独立した要件とする</w:t>
      </w:r>
      <w:r>
        <w:rPr>
          <w:rFonts w:ascii="ＭＳ 明朝" w:hAnsi="ＭＳ 明朝" w:hint="eastAsia"/>
          <w:szCs w:val="21"/>
        </w:rPr>
        <w:t>ことは</w:t>
      </w:r>
      <w:r w:rsidRPr="0098708A">
        <w:rPr>
          <w:rFonts w:ascii="ＭＳ 明朝" w:hAnsi="ＭＳ 明朝" w:hint="eastAsia"/>
          <w:szCs w:val="21"/>
        </w:rPr>
        <w:t>疑問であり、またその実際上の</w:t>
      </w:r>
      <w:r>
        <w:rPr>
          <w:rFonts w:ascii="ＭＳ 明朝" w:hAnsi="ＭＳ 明朝" w:hint="eastAsia"/>
          <w:szCs w:val="21"/>
        </w:rPr>
        <w:t>弊害も生じ</w:t>
      </w:r>
      <w:r w:rsidRPr="0098708A">
        <w:rPr>
          <w:rFonts w:ascii="ＭＳ 明朝" w:hAnsi="ＭＳ 明朝" w:hint="eastAsia"/>
          <w:szCs w:val="21"/>
        </w:rPr>
        <w:t>ている</w:t>
      </w:r>
      <w:r>
        <w:rPr>
          <w:rFonts w:ascii="ＭＳ 明朝" w:hAnsi="ＭＳ 明朝" w:hint="eastAsia"/>
          <w:szCs w:val="21"/>
        </w:rPr>
        <w:t>ように思われる</w:t>
      </w:r>
      <w:r w:rsidRPr="0098708A">
        <w:rPr>
          <w:rFonts w:ascii="ＭＳ 明朝" w:hAnsi="ＭＳ 明朝" w:hint="eastAsia"/>
          <w:szCs w:val="21"/>
        </w:rPr>
        <w:t>。正当化事由を</w:t>
      </w:r>
      <w:r>
        <w:rPr>
          <w:rFonts w:ascii="ＭＳ 明朝" w:hAnsi="ＭＳ 明朝" w:hint="eastAsia"/>
          <w:szCs w:val="21"/>
        </w:rPr>
        <w:t>独立の要件とすることによって</w:t>
      </w:r>
      <w:r w:rsidRPr="0098708A">
        <w:rPr>
          <w:rFonts w:ascii="ＭＳ 明朝" w:hAnsi="ＭＳ 明朝" w:hint="eastAsia"/>
          <w:szCs w:val="21"/>
        </w:rPr>
        <w:t>、目的と手段の相当性という一般的枠組みで考えることになりがちであるが、そうすると、目的と手段の相当性と効果要件（「競争の実質的制限」）との関係が曖昧になり、また、競争の実質的制限と「公共の利益」とを明確に分けるべきであるのに、これも曖昧になるからである</w:t>
      </w:r>
      <w:r>
        <w:rPr>
          <w:rFonts w:ascii="ＭＳ 明朝" w:hAnsi="ＭＳ 明朝" w:hint="eastAsia"/>
          <w:szCs w:val="21"/>
        </w:rPr>
        <w:t>（この点については、</w:t>
      </w:r>
      <w:r w:rsidRPr="00C643FE">
        <w:rPr>
          <w:rFonts w:hint="eastAsia"/>
        </w:rPr>
        <w:t>近く公刊される立教法学</w:t>
      </w:r>
      <w:r w:rsidRPr="00C643FE">
        <w:rPr>
          <w:rFonts w:ascii="Arial" w:hAnsi="Arial" w:cs="Arial"/>
          <w:szCs w:val="21"/>
          <w:shd w:val="clear" w:color="auto" w:fill="FFFFFF"/>
        </w:rPr>
        <w:t>96</w:t>
      </w:r>
      <w:r w:rsidRPr="00C643FE">
        <w:rPr>
          <w:rFonts w:ascii="Arial" w:hAnsi="Arial" w:cs="Arial"/>
          <w:szCs w:val="21"/>
          <w:shd w:val="clear" w:color="auto" w:fill="FFFFFF"/>
        </w:rPr>
        <w:t>号</w:t>
      </w:r>
      <w:r w:rsidRPr="00C643FE">
        <w:rPr>
          <w:rFonts w:ascii="Arial" w:hAnsi="Arial" w:cs="Arial" w:hint="eastAsia"/>
          <w:szCs w:val="21"/>
          <w:shd w:val="clear" w:color="auto" w:fill="FFFFFF"/>
        </w:rPr>
        <w:t>掲載予定の</w:t>
      </w:r>
      <w:r w:rsidRPr="00C643FE">
        <w:rPr>
          <w:rFonts w:ascii="ＭＳ 明朝" w:hAnsi="ＭＳ 明朝" w:cs="Arial" w:hint="eastAsia"/>
          <w:szCs w:val="21"/>
          <w:shd w:val="clear" w:color="auto" w:fill="FFFFFF"/>
        </w:rPr>
        <w:t>「事業法と独禁法」で詳述する</w:t>
      </w:r>
      <w:r>
        <w:rPr>
          <w:rFonts w:ascii="ＭＳ 明朝" w:hAnsi="ＭＳ 明朝" w:cs="Arial" w:hint="eastAsia"/>
          <w:szCs w:val="21"/>
          <w:shd w:val="clear" w:color="auto" w:fill="FFFFFF"/>
        </w:rPr>
        <w:t>）。</w:t>
      </w:r>
    </w:p>
    <w:p w:rsidR="0044525C" w:rsidRPr="0098708A" w:rsidRDefault="0044525C" w:rsidP="0044525C">
      <w:pPr>
        <w:ind w:firstLineChars="100" w:firstLine="210"/>
        <w:rPr>
          <w:rFonts w:ascii="ＭＳ 明朝" w:hAnsi="ＭＳ 明朝" w:cs="ＭＳ ゴシック"/>
          <w:color w:val="000000"/>
          <w:szCs w:val="21"/>
        </w:rPr>
      </w:pPr>
      <w:r w:rsidRPr="0098708A">
        <w:rPr>
          <w:rFonts w:ascii="ＭＳ 明朝" w:hAnsi="ＭＳ 明朝" w:cs="ＭＳ ゴシック" w:hint="eastAsia"/>
          <w:color w:val="000000"/>
          <w:szCs w:val="21"/>
        </w:rPr>
        <w:t>なお、</w:t>
      </w:r>
      <w:r w:rsidRPr="0098708A">
        <w:rPr>
          <w:rFonts w:ascii="ＭＳ 明朝" w:hAnsi="ＭＳ 明朝" w:hint="eastAsia"/>
          <w:szCs w:val="21"/>
        </w:rPr>
        <w:t>上の行為主体要件について、不当な取引制限の主体は</w:t>
      </w:r>
      <w:r w:rsidRPr="0098708A">
        <w:rPr>
          <w:rFonts w:ascii="ＭＳ 明朝" w:hAnsi="ＭＳ 明朝" w:cs="ＭＳ ゴシック" w:hint="eastAsia"/>
          <w:color w:val="000000"/>
          <w:szCs w:val="21"/>
        </w:rPr>
        <w:t>相互に競争関係にある事業者に限られるという判例理論に立</w:t>
      </w:r>
      <w:r>
        <w:rPr>
          <w:rFonts w:ascii="ＭＳ 明朝" w:hAnsi="ＭＳ 明朝" w:cs="ＭＳ ゴシック" w:hint="eastAsia"/>
          <w:color w:val="000000"/>
          <w:szCs w:val="21"/>
        </w:rPr>
        <w:t>って、これを</w:t>
      </w:r>
      <w:r w:rsidRPr="0098708A">
        <w:rPr>
          <w:rFonts w:ascii="ＭＳ 明朝" w:hAnsi="ＭＳ 明朝" w:hint="eastAsia"/>
          <w:szCs w:val="21"/>
        </w:rPr>
        <w:t>行為主体要件に組み込む説があるようであるが</w:t>
      </w:r>
      <w:r w:rsidRPr="0098708A">
        <w:rPr>
          <w:rFonts w:ascii="ＭＳ 明朝" w:hAnsi="ＭＳ 明朝" w:cs="ＭＳ ゴシック" w:hint="eastAsia"/>
          <w:color w:val="000000"/>
          <w:szCs w:val="21"/>
        </w:rPr>
        <w:t>、疑問である。相互に競争関係にある事業者に限られるか否かは、</w:t>
      </w:r>
      <w:r w:rsidRPr="0098708A">
        <w:rPr>
          <w:rFonts w:ascii="ＭＳ 明朝" w:hAnsi="ＭＳ 明朝" w:hint="eastAsia"/>
          <w:szCs w:val="21"/>
        </w:rPr>
        <w:t>行為要件</w:t>
      </w:r>
      <w:r>
        <w:rPr>
          <w:rFonts w:ascii="ＭＳ 明朝" w:hAnsi="ＭＳ 明朝" w:hint="eastAsia"/>
          <w:szCs w:val="21"/>
        </w:rPr>
        <w:t>における</w:t>
      </w:r>
      <w:r w:rsidRPr="0098708A">
        <w:rPr>
          <w:rFonts w:ascii="ＭＳ 明朝" w:hAnsi="ＭＳ 明朝" w:cs="ＭＳ ゴシック" w:hint="eastAsia"/>
          <w:color w:val="000000"/>
          <w:szCs w:val="21"/>
        </w:rPr>
        <w:t>「相互拘束」の解釈の問題として扱うべきである</w:t>
      </w:r>
      <w:r>
        <w:rPr>
          <w:rFonts w:ascii="ＭＳ 明朝" w:hAnsi="ＭＳ 明朝" w:cs="ＭＳ ゴシック" w:hint="eastAsia"/>
          <w:color w:val="000000"/>
          <w:szCs w:val="21"/>
        </w:rPr>
        <w:t>（本稿2以下で述べる）</w:t>
      </w:r>
      <w:r w:rsidRPr="0098708A">
        <w:rPr>
          <w:rFonts w:ascii="ＭＳ 明朝" w:hAnsi="ＭＳ 明朝" w:cs="ＭＳ ゴシック" w:hint="eastAsia"/>
          <w:color w:val="000000"/>
          <w:szCs w:val="21"/>
        </w:rPr>
        <w:t>。</w:t>
      </w:r>
    </w:p>
    <w:p w:rsidR="0044525C" w:rsidRPr="008C4DFD" w:rsidRDefault="0044525C" w:rsidP="0044525C">
      <w:pPr>
        <w:rPr>
          <w:rFonts w:ascii="ＭＳ 明朝" w:hAnsi="ＭＳ 明朝"/>
          <w:szCs w:val="21"/>
        </w:rPr>
      </w:pPr>
    </w:p>
    <w:p w:rsidR="0044525C" w:rsidRPr="001E108F" w:rsidRDefault="0044525C" w:rsidP="0044525C">
      <w:pPr>
        <w:pStyle w:val="2"/>
        <w:rPr>
          <w:rFonts w:ascii="ＭＳ 明朝" w:eastAsia="ＭＳ 明朝" w:hAnsi="ＭＳ 明朝"/>
          <w:b/>
          <w:szCs w:val="21"/>
        </w:rPr>
      </w:pPr>
      <w:r w:rsidRPr="001E108F">
        <w:rPr>
          <w:rFonts w:ascii="ＭＳ 明朝" w:eastAsia="ＭＳ 明朝" w:hAnsi="ＭＳ 明朝" w:hint="eastAsia"/>
          <w:b/>
          <w:szCs w:val="21"/>
        </w:rPr>
        <w:t>２．「横のカルテル」と「縦のカルテル」</w:t>
      </w:r>
    </w:p>
    <w:p w:rsidR="0044525C" w:rsidRDefault="0044525C" w:rsidP="0044525C">
      <w:pPr>
        <w:ind w:firstLineChars="100" w:firstLine="210"/>
        <w:rPr>
          <w:rFonts w:ascii="ＭＳ 明朝" w:hAnsi="ＭＳ 明朝" w:cs="ＭＳ ゴシック"/>
          <w:color w:val="000000"/>
          <w:szCs w:val="21"/>
        </w:rPr>
      </w:pPr>
      <w:r w:rsidRPr="0098708A">
        <w:rPr>
          <w:rFonts w:ascii="ＭＳ 明朝" w:hAnsi="ＭＳ 明朝" w:cs="ＭＳ ゴシック" w:hint="eastAsia"/>
          <w:color w:val="000000"/>
          <w:szCs w:val="21"/>
        </w:rPr>
        <w:t>周知のように、独禁法上の不当な取引制限は、相互に競争関係にある事業者によるもの（</w:t>
      </w:r>
      <w:r w:rsidRPr="00B73B07">
        <w:rPr>
          <w:rFonts w:ascii="ＭＳ 明朝" w:hAnsi="ＭＳ 明朝" w:hint="eastAsia"/>
          <w:szCs w:val="21"/>
        </w:rPr>
        <w:t>「横のカルテル」</w:t>
      </w:r>
      <w:r>
        <w:rPr>
          <w:rFonts w:ascii="ＭＳ 明朝" w:hAnsi="ＭＳ 明朝" w:hint="eastAsia"/>
          <w:szCs w:val="21"/>
        </w:rPr>
        <w:t>）</w:t>
      </w:r>
      <w:r w:rsidRPr="0098708A">
        <w:rPr>
          <w:rFonts w:ascii="ＭＳ 明朝" w:hAnsi="ＭＳ 明朝" w:cs="ＭＳ ゴシック" w:hint="eastAsia"/>
          <w:color w:val="000000"/>
          <w:szCs w:val="21"/>
        </w:rPr>
        <w:t>に限られる、とする判例理論が今日に至るまで通用している</w:t>
      </w:r>
      <w:r>
        <w:rPr>
          <w:rFonts w:ascii="ＭＳ 明朝" w:hAnsi="ＭＳ 明朝" w:cs="ＭＳ ゴシック" w:hint="eastAsia"/>
          <w:color w:val="000000"/>
          <w:szCs w:val="21"/>
        </w:rPr>
        <w:t>（</w:t>
      </w:r>
      <w:r>
        <w:rPr>
          <w:rFonts w:hint="eastAsia"/>
        </w:rPr>
        <w:t>「横のカルテル」と「縦のカルテル」という区別は以前から説かれているが、最近の概説書では、例えば、</w:t>
      </w:r>
      <w:r w:rsidR="00D26E3A" w:rsidRPr="0098708A">
        <w:rPr>
          <w:rFonts w:ascii="ＭＳ 明朝" w:hAnsi="ＭＳ 明朝" w:cs="メイリオ" w:hint="eastAsia"/>
          <w:szCs w:val="21"/>
        </w:rPr>
        <w:t>金井貴嗣＝川濵昇＝泉水文雄（編）『独占禁止法』（弘文堂、第5版、2015）</w:t>
      </w:r>
      <w:r>
        <w:rPr>
          <w:rFonts w:ascii="ＭＳ 明朝" w:hAnsi="ＭＳ 明朝" w:cs="メイリオ" w:hint="eastAsia"/>
          <w:szCs w:val="21"/>
        </w:rPr>
        <w:t>39頁参照。）</w:t>
      </w:r>
      <w:r w:rsidRPr="0098708A">
        <w:rPr>
          <w:rFonts w:ascii="ＭＳ 明朝" w:hAnsi="ＭＳ 明朝" w:cs="ＭＳ ゴシック" w:hint="eastAsia"/>
          <w:color w:val="000000"/>
          <w:szCs w:val="21"/>
        </w:rPr>
        <w:t>。</w:t>
      </w:r>
    </w:p>
    <w:p w:rsidR="0044525C" w:rsidRPr="0098708A" w:rsidRDefault="0044525C" w:rsidP="0044525C">
      <w:pPr>
        <w:ind w:firstLineChars="100" w:firstLine="210"/>
        <w:rPr>
          <w:rFonts w:ascii="ＭＳ 明朝" w:hAnsi="ＭＳ 明朝" w:cs="ＭＳ ゴシック"/>
          <w:color w:val="000000"/>
          <w:szCs w:val="21"/>
        </w:rPr>
      </w:pPr>
      <w:r w:rsidRPr="0098708A">
        <w:rPr>
          <w:rFonts w:ascii="ＭＳ 明朝" w:hAnsi="ＭＳ 明朝" w:cs="ＭＳ ゴシック" w:hint="eastAsia"/>
          <w:color w:val="000000"/>
          <w:szCs w:val="21"/>
        </w:rPr>
        <w:t>これは、</w:t>
      </w:r>
      <w:r w:rsidRPr="0098708A">
        <w:rPr>
          <w:rFonts w:ascii="ＭＳ 明朝" w:hAnsi="ＭＳ 明朝" w:hint="eastAsia"/>
          <w:szCs w:val="21"/>
        </w:rPr>
        <w:t>新聞販路協定事件＝東京高判昭和28・3・9（高民6巻9号435頁）によって判示された解釈である。</w:t>
      </w:r>
    </w:p>
    <w:p w:rsidR="0044525C" w:rsidRPr="0098708A" w:rsidRDefault="0044525C" w:rsidP="0044525C">
      <w:pPr>
        <w:ind w:firstLine="240"/>
        <w:rPr>
          <w:rFonts w:ascii="ＭＳ 明朝" w:hAnsi="ＭＳ 明朝" w:cs="ＭＳ ゴシック"/>
          <w:color w:val="000000"/>
          <w:szCs w:val="21"/>
        </w:rPr>
      </w:pPr>
      <w:r w:rsidRPr="0098708A">
        <w:rPr>
          <w:rFonts w:ascii="ＭＳ 明朝" w:hAnsi="ＭＳ 明朝" w:cs="ＭＳ ゴシック" w:hint="eastAsia"/>
          <w:color w:val="000000"/>
          <w:szCs w:val="21"/>
        </w:rPr>
        <w:lastRenderedPageBreak/>
        <w:t>これによれば，</w:t>
      </w:r>
    </w:p>
    <w:p w:rsidR="0044525C" w:rsidRPr="0098708A" w:rsidRDefault="0044525C" w:rsidP="0044525C">
      <w:pPr>
        <w:numPr>
          <w:ilvl w:val="0"/>
          <w:numId w:val="1"/>
        </w:numPr>
        <w:rPr>
          <w:rFonts w:ascii="ＭＳ 明朝" w:hAnsi="ＭＳ 明朝"/>
          <w:color w:val="000000"/>
          <w:szCs w:val="21"/>
        </w:rPr>
      </w:pPr>
      <w:r w:rsidRPr="0098708A">
        <w:rPr>
          <w:rFonts w:ascii="ＭＳ 明朝" w:hAnsi="ＭＳ 明朝" w:cs="ＭＳ ゴシック" w:hint="eastAsia"/>
          <w:color w:val="000000"/>
          <w:szCs w:val="21"/>
        </w:rPr>
        <w:t>不当な取引制限の行為要件は「相互拘束」のみであり、「共同遂行」は独立の要件にはなり得ない、</w:t>
      </w:r>
    </w:p>
    <w:p w:rsidR="0044525C" w:rsidRPr="0098708A" w:rsidRDefault="0044525C" w:rsidP="0044525C">
      <w:pPr>
        <w:numPr>
          <w:ilvl w:val="0"/>
          <w:numId w:val="1"/>
        </w:numPr>
        <w:rPr>
          <w:rFonts w:ascii="ＭＳ 明朝" w:hAnsi="ＭＳ 明朝"/>
          <w:color w:val="000000"/>
          <w:szCs w:val="21"/>
        </w:rPr>
      </w:pPr>
      <w:r w:rsidRPr="0098708A">
        <w:rPr>
          <w:rFonts w:ascii="ＭＳ 明朝" w:hAnsi="ＭＳ 明朝" w:cs="ＭＳ ゴシック" w:hint="eastAsia"/>
          <w:color w:val="000000"/>
          <w:szCs w:val="21"/>
        </w:rPr>
        <w:t>不当な取引制限の当事者は相互に競争関係にある事業者に限定される、</w:t>
      </w:r>
    </w:p>
    <w:p w:rsidR="0044525C" w:rsidRPr="0098708A" w:rsidRDefault="0044525C" w:rsidP="0044525C">
      <w:pPr>
        <w:numPr>
          <w:ilvl w:val="0"/>
          <w:numId w:val="1"/>
        </w:numPr>
        <w:rPr>
          <w:rFonts w:ascii="ＭＳ 明朝" w:hAnsi="ＭＳ 明朝"/>
          <w:color w:val="000000"/>
          <w:szCs w:val="21"/>
        </w:rPr>
      </w:pPr>
      <w:r w:rsidRPr="0098708A">
        <w:rPr>
          <w:rFonts w:ascii="ＭＳ 明朝" w:hAnsi="ＭＳ 明朝" w:cs="ＭＳ ゴシック" w:hint="eastAsia"/>
          <w:color w:val="000000"/>
          <w:szCs w:val="21"/>
        </w:rPr>
        <w:t>不当な取引制限の行為要件として拘束（制限）の相互性と内容の共通性とが必要である。</w:t>
      </w:r>
    </w:p>
    <w:p w:rsidR="0044525C" w:rsidRDefault="0044525C" w:rsidP="0044525C">
      <w:pPr>
        <w:ind w:firstLineChars="100" w:firstLine="210"/>
        <w:rPr>
          <w:rFonts w:ascii="ＭＳ 明朝" w:hAnsi="ＭＳ 明朝"/>
          <w:szCs w:val="21"/>
        </w:rPr>
      </w:pPr>
    </w:p>
    <w:p w:rsidR="0044525C" w:rsidRDefault="008A6CB3" w:rsidP="008A6CB3">
      <w:pPr>
        <w:ind w:firstLineChars="100" w:firstLine="210"/>
        <w:rPr>
          <w:rFonts w:ascii="ＭＳ 明朝" w:hAnsi="ＭＳ 明朝"/>
          <w:szCs w:val="21"/>
        </w:rPr>
      </w:pPr>
      <w:r w:rsidRPr="0098708A">
        <w:rPr>
          <w:rFonts w:ascii="ＭＳ 明朝" w:hAnsi="ＭＳ 明朝" w:hint="eastAsia"/>
          <w:color w:val="000000"/>
          <w:szCs w:val="21"/>
        </w:rPr>
        <w:t>しかし、学説では同判決の直後から、「縦のカルテル</w:t>
      </w:r>
      <w:r>
        <w:rPr>
          <w:rFonts w:ascii="ＭＳ 明朝" w:hAnsi="ＭＳ 明朝" w:hint="eastAsia"/>
          <w:color w:val="000000"/>
          <w:szCs w:val="21"/>
        </w:rPr>
        <w:t>」</w:t>
      </w:r>
      <w:r w:rsidRPr="0098708A">
        <w:rPr>
          <w:rFonts w:ascii="ＭＳ 明朝" w:hAnsi="ＭＳ 明朝" w:hint="eastAsia"/>
          <w:color w:val="000000"/>
          <w:szCs w:val="21"/>
        </w:rPr>
        <w:t>を認めるべきであるとする</w:t>
      </w:r>
      <w:r>
        <w:rPr>
          <w:rFonts w:ascii="ＭＳ 明朝" w:hAnsi="ＭＳ 明朝" w:hint="eastAsia"/>
          <w:color w:val="000000"/>
          <w:szCs w:val="21"/>
        </w:rPr>
        <w:t>反対論</w:t>
      </w:r>
      <w:r w:rsidRPr="0098708A">
        <w:rPr>
          <w:rFonts w:ascii="ＭＳ 明朝" w:hAnsi="ＭＳ 明朝" w:hint="eastAsia"/>
          <w:color w:val="000000"/>
          <w:szCs w:val="21"/>
        </w:rPr>
        <w:t>が多数行われてきて</w:t>
      </w:r>
      <w:r>
        <w:rPr>
          <w:rFonts w:ascii="ＭＳ 明朝" w:hAnsi="ＭＳ 明朝" w:cs="ＭＳ ゴシック" w:hint="eastAsia"/>
          <w:color w:val="000000"/>
          <w:szCs w:val="21"/>
        </w:rPr>
        <w:t>いる。</w:t>
      </w:r>
      <w:r w:rsidR="0044525C" w:rsidRPr="0098708A">
        <w:rPr>
          <w:rFonts w:ascii="ＭＳ 明朝" w:hAnsi="ＭＳ 明朝" w:hint="eastAsia"/>
          <w:color w:val="000000"/>
          <w:szCs w:val="21"/>
        </w:rPr>
        <w:t>この立場は、独禁法の制定以来、前記の</w:t>
      </w:r>
      <w:r w:rsidR="0044525C" w:rsidRPr="00B73B07">
        <w:rPr>
          <w:rFonts w:ascii="ＭＳ 明朝" w:hAnsi="ＭＳ 明朝" w:hint="eastAsia"/>
          <w:szCs w:val="21"/>
        </w:rPr>
        <w:t>新聞販路協定事件</w:t>
      </w:r>
      <w:r w:rsidR="0044525C">
        <w:rPr>
          <w:rFonts w:ascii="ＭＳ 明朝" w:hAnsi="ＭＳ 明朝" w:hint="eastAsia"/>
          <w:szCs w:val="21"/>
        </w:rPr>
        <w:t>で否定されるまで</w:t>
      </w:r>
      <w:r w:rsidR="0044525C" w:rsidRPr="0098708A">
        <w:rPr>
          <w:rFonts w:ascii="ＭＳ 明朝" w:hAnsi="ＭＳ 明朝" w:hint="eastAsia"/>
          <w:color w:val="000000"/>
          <w:szCs w:val="21"/>
        </w:rPr>
        <w:t>公取委が採用してきたものであるが、同判決以後、</w:t>
      </w:r>
      <w:r w:rsidR="0044525C" w:rsidRPr="00B73B07">
        <w:rPr>
          <w:rFonts w:ascii="ＭＳ 明朝" w:hAnsi="ＭＳ 明朝" w:hint="eastAsia"/>
          <w:color w:val="000000"/>
          <w:szCs w:val="21"/>
        </w:rPr>
        <w:t>公取委</w:t>
      </w:r>
      <w:r w:rsidR="0044525C">
        <w:rPr>
          <w:rFonts w:ascii="ＭＳ 明朝" w:hAnsi="ＭＳ 明朝" w:hint="eastAsia"/>
          <w:color w:val="000000"/>
          <w:szCs w:val="21"/>
        </w:rPr>
        <w:t>はこれに従って</w:t>
      </w:r>
      <w:r w:rsidR="0044525C" w:rsidRPr="00B73B07">
        <w:rPr>
          <w:rFonts w:ascii="ＭＳ 明朝" w:hAnsi="ＭＳ 明朝" w:hint="eastAsia"/>
          <w:szCs w:val="21"/>
        </w:rPr>
        <w:t>横のカルテル</w:t>
      </w:r>
      <w:r w:rsidR="0044525C">
        <w:rPr>
          <w:rFonts w:ascii="ＭＳ 明朝" w:hAnsi="ＭＳ 明朝" w:hint="eastAsia"/>
          <w:szCs w:val="21"/>
        </w:rPr>
        <w:t>だけが不当な取引制限に当たるとしてきている。</w:t>
      </w:r>
    </w:p>
    <w:p w:rsidR="008A6CB3" w:rsidRDefault="008A6CB3" w:rsidP="008A6CB3">
      <w:pPr>
        <w:ind w:firstLineChars="100" w:firstLine="210"/>
        <w:rPr>
          <w:rFonts w:ascii="ＭＳ 明朝" w:hAnsi="ＭＳ 明朝"/>
          <w:color w:val="000000"/>
          <w:szCs w:val="21"/>
        </w:rPr>
      </w:pPr>
      <w:r>
        <w:rPr>
          <w:rFonts w:ascii="ＭＳ 明朝" w:hAnsi="ＭＳ 明朝" w:cs="ＭＳ ゴシック" w:hint="eastAsia"/>
          <w:color w:val="000000"/>
          <w:szCs w:val="21"/>
        </w:rPr>
        <w:t>上</w:t>
      </w:r>
      <w:r w:rsidRPr="0098708A">
        <w:rPr>
          <w:rFonts w:ascii="ＭＳ 明朝" w:hAnsi="ＭＳ 明朝" w:cs="ＭＳ ゴシック" w:hint="eastAsia"/>
          <w:color w:val="000000"/>
          <w:szCs w:val="21"/>
        </w:rPr>
        <w:t>の判例理論に対する批判の力点は、</w:t>
      </w:r>
      <w:r w:rsidRPr="0098708A">
        <w:rPr>
          <w:rFonts w:ascii="ＭＳ 明朝" w:hAnsi="ＭＳ 明朝" w:hint="eastAsia"/>
          <w:color w:val="000000"/>
          <w:szCs w:val="21"/>
        </w:rPr>
        <w:t>独禁法違反の多様な形態のうち、縦のカルテルを認めないと、私的独占にも該当しない場合があるために、不公正な取引方法に</w:t>
      </w:r>
      <w:r>
        <w:rPr>
          <w:rFonts w:ascii="ＭＳ 明朝" w:hAnsi="ＭＳ 明朝" w:hint="eastAsia"/>
          <w:color w:val="000000"/>
          <w:szCs w:val="21"/>
        </w:rPr>
        <w:t>当たるとするほかはなく</w:t>
      </w:r>
      <w:r w:rsidRPr="0098708A">
        <w:rPr>
          <w:rFonts w:ascii="ＭＳ 明朝" w:hAnsi="ＭＳ 明朝" w:hint="eastAsia"/>
          <w:color w:val="000000"/>
          <w:szCs w:val="21"/>
        </w:rPr>
        <w:t>、競争の実質的制限と</w:t>
      </w:r>
      <w:r>
        <w:rPr>
          <w:rFonts w:ascii="ＭＳ 明朝" w:hAnsi="ＭＳ 明朝" w:hint="eastAsia"/>
          <w:color w:val="000000"/>
          <w:szCs w:val="21"/>
        </w:rPr>
        <w:t>いう実態に見合った法の適用ができなくなる、という点にある。</w:t>
      </w:r>
    </w:p>
    <w:p w:rsidR="008A6CB3" w:rsidRPr="008A6CB3" w:rsidRDefault="008A6CB3" w:rsidP="008A6CB3">
      <w:pPr>
        <w:ind w:firstLineChars="100" w:firstLine="210"/>
        <w:rPr>
          <w:rFonts w:ascii="ＭＳ 明朝" w:hAnsi="ＭＳ 明朝"/>
          <w:color w:val="000000"/>
          <w:szCs w:val="21"/>
        </w:rPr>
      </w:pPr>
      <w:r w:rsidRPr="0098708A">
        <w:rPr>
          <w:rFonts w:ascii="ＭＳ 明朝" w:hAnsi="ＭＳ 明朝"/>
          <w:szCs w:val="21"/>
        </w:rPr>
        <w:t>私は、2004年の談合をテーマにした学会のシンポジウムにおいて、官製談合を念頭に置いて、「縦のカルテル」の両当事者を</w:t>
      </w:r>
      <w:r>
        <w:rPr>
          <w:rFonts w:ascii="ＭＳ 明朝" w:hAnsi="ＭＳ 明朝"/>
          <w:szCs w:val="21"/>
        </w:rPr>
        <w:t>ともに不当な取引制限の行為主体として捉えるべきであると主張した</w:t>
      </w:r>
      <w:r>
        <w:rPr>
          <w:rFonts w:ascii="ＭＳ 明朝" w:hAnsi="ＭＳ 明朝" w:hint="eastAsia"/>
          <w:szCs w:val="21"/>
        </w:rPr>
        <w:t>（</w:t>
      </w:r>
      <w:r w:rsidRPr="0098708A">
        <w:rPr>
          <w:rFonts w:ascii="ＭＳ 明朝" w:hAnsi="ＭＳ 明朝"/>
          <w:szCs w:val="21"/>
        </w:rPr>
        <w:t>舟田</w:t>
      </w:r>
      <w:r w:rsidRPr="0098708A">
        <w:rPr>
          <w:rFonts w:ascii="ＭＳ 明朝" w:hAnsi="ＭＳ 明朝" w:hint="eastAsia"/>
          <w:szCs w:val="21"/>
        </w:rPr>
        <w:t>「談合と独占禁止法」日本経済法学会年報25号24頁以下（2004</w:t>
      </w:r>
      <w:r w:rsidRPr="0098708A">
        <w:rPr>
          <w:rFonts w:ascii="ＭＳ 明朝" w:hAnsi="ＭＳ 明朝"/>
          <w:szCs w:val="21"/>
        </w:rPr>
        <w:t>）</w:t>
      </w:r>
      <w:r>
        <w:rPr>
          <w:rFonts w:ascii="ＭＳ 明朝" w:hAnsi="ＭＳ 明朝" w:hint="eastAsia"/>
          <w:szCs w:val="21"/>
        </w:rPr>
        <w:t>）</w:t>
      </w:r>
      <w:r w:rsidRPr="0098708A">
        <w:rPr>
          <w:rFonts w:ascii="ＭＳ 明朝" w:hAnsi="ＭＳ 明朝" w:hint="eastAsia"/>
          <w:szCs w:val="21"/>
        </w:rPr>
        <w:t>。</w:t>
      </w:r>
    </w:p>
    <w:p w:rsidR="0044525C" w:rsidRDefault="008A6CB3" w:rsidP="0044525C">
      <w:pPr>
        <w:ind w:firstLineChars="100" w:firstLine="210"/>
        <w:rPr>
          <w:rFonts w:ascii="ＭＳ 明朝" w:hAnsi="ＭＳ 明朝" w:cs="ＭＳ ゴシック"/>
          <w:color w:val="000000"/>
          <w:szCs w:val="21"/>
        </w:rPr>
      </w:pPr>
      <w:r>
        <w:rPr>
          <w:rFonts w:ascii="ＭＳ 明朝" w:hAnsi="ＭＳ 明朝" w:hint="eastAsia"/>
          <w:color w:val="000000"/>
          <w:szCs w:val="21"/>
        </w:rPr>
        <w:t>その後の学説では、この反対論が有力になりつつあり、</w:t>
      </w:r>
      <w:r w:rsidR="0044525C" w:rsidRPr="0098708A">
        <w:rPr>
          <w:rFonts w:ascii="ＭＳ 明朝" w:hAnsi="ＭＳ 明朝" w:cs="ＭＳ ゴシック" w:hint="eastAsia"/>
          <w:color w:val="000000"/>
          <w:szCs w:val="21"/>
        </w:rPr>
        <w:t>上記の</w:t>
      </w:r>
      <w:r w:rsidRPr="0098708A">
        <w:rPr>
          <w:rFonts w:ascii="ＭＳ 明朝" w:hAnsi="ＭＳ 明朝" w:hint="eastAsia"/>
          <w:szCs w:val="21"/>
        </w:rPr>
        <w:t>新聞販路協定事件</w:t>
      </w:r>
      <w:r>
        <w:rPr>
          <w:rFonts w:ascii="ＭＳ 明朝" w:hAnsi="ＭＳ 明朝" w:hint="eastAsia"/>
          <w:szCs w:val="21"/>
        </w:rPr>
        <w:t>判決における</w:t>
      </w:r>
      <w:r w:rsidR="0044525C" w:rsidRPr="0098708A">
        <w:rPr>
          <w:rFonts w:ascii="ＭＳ 明朝" w:hAnsi="ＭＳ 明朝" w:cs="ＭＳ ゴシック" w:hint="eastAsia"/>
          <w:color w:val="000000"/>
          <w:szCs w:val="21"/>
        </w:rPr>
        <w:t>①から③をすべて否定する説の方が有力になりつつあると言ってもいい状況にある</w:t>
      </w:r>
      <w:r w:rsidR="0044525C">
        <w:rPr>
          <w:rFonts w:ascii="ＭＳ 明朝" w:hAnsi="ＭＳ 明朝" w:cs="ＭＳ ゴシック" w:hint="eastAsia"/>
          <w:color w:val="000000"/>
          <w:szCs w:val="21"/>
        </w:rPr>
        <w:t>。</w:t>
      </w:r>
    </w:p>
    <w:p w:rsidR="0044525C" w:rsidRDefault="0044525C" w:rsidP="0044525C">
      <w:r w:rsidRPr="0098708A">
        <w:rPr>
          <w:rFonts w:ascii="ＭＳ 明朝" w:hAnsi="ＭＳ 明朝"/>
          <w:szCs w:val="21"/>
        </w:rPr>
        <w:t xml:space="preserve">　</w:t>
      </w:r>
      <w:r>
        <w:rPr>
          <w:rFonts w:ascii="ＭＳ 明朝" w:hAnsi="ＭＳ 明朝" w:hint="eastAsia"/>
          <w:szCs w:val="21"/>
        </w:rPr>
        <w:t>2016年の学会シンポジウム</w:t>
      </w:r>
      <w:r w:rsidRPr="0098708A">
        <w:rPr>
          <w:rFonts w:ascii="ＭＳ 明朝" w:hAnsi="ＭＳ 明朝"/>
          <w:szCs w:val="21"/>
        </w:rPr>
        <w:t>においても、斉藤高広報告をめぐってフロアーからも多くの発言があり、「縦のカルテル」を認めるところまでもう１歩、という雰囲気であった</w:t>
      </w:r>
      <w:r>
        <w:rPr>
          <w:rFonts w:ascii="ＭＳ 明朝" w:hAnsi="ＭＳ 明朝" w:hint="eastAsia"/>
          <w:szCs w:val="21"/>
        </w:rPr>
        <w:t>（</w:t>
      </w:r>
      <w:r w:rsidRPr="00B00D73">
        <w:t>「</w:t>
      </w:r>
      <w:r w:rsidRPr="00867DEF">
        <w:rPr>
          <w:rFonts w:ascii="ＭＳ 明朝" w:hAnsi="ＭＳ 明朝" w:hint="eastAsia"/>
          <w:szCs w:val="21"/>
        </w:rPr>
        <w:t>不当な取引制限の主体と行為要件の現代的意義</w:t>
      </w:r>
      <w:r>
        <w:rPr>
          <w:rFonts w:ascii="ＭＳ 明朝" w:hAnsi="ＭＳ 明朝" w:hint="eastAsia"/>
          <w:szCs w:val="21"/>
        </w:rPr>
        <w:t>」日本経済法学会年報37号40頁以下（2016）、特に49頁以下を参照。</w:t>
      </w:r>
      <w:r>
        <w:rPr>
          <w:rFonts w:hint="eastAsia"/>
        </w:rPr>
        <w:t>比較法的には、「いわば挟を分かった欧米では、複数の者が関与する競争制限行為について、</w:t>
      </w:r>
      <w:r>
        <w:rPr>
          <w:rFonts w:hint="eastAsia"/>
        </w:rPr>
        <w:t xml:space="preserve"> </w:t>
      </w:r>
      <w:r>
        <w:rPr>
          <w:rFonts w:hint="eastAsia"/>
        </w:rPr>
        <w:t>まずは共同行為規制として捉え、次に独占行為・市場支配的地位の濫用規制の適用を検討する思考枠組みを持っており、</w:t>
      </w:r>
      <w:r>
        <w:rPr>
          <w:rFonts w:hint="eastAsia"/>
        </w:rPr>
        <w:t xml:space="preserve"> </w:t>
      </w:r>
      <w:r>
        <w:rPr>
          <w:rFonts w:hint="eastAsia"/>
        </w:rPr>
        <w:t>また、違法要件に係る難題、つまり</w:t>
      </w:r>
      <w:r>
        <w:rPr>
          <w:rFonts w:hint="eastAsia"/>
        </w:rPr>
        <w:t xml:space="preserve"> </w:t>
      </w:r>
      <w:r w:rsidR="00280567">
        <w:rPr>
          <w:rFonts w:hint="eastAsia"/>
        </w:rPr>
        <w:t>「相互拘束」という桎梏</w:t>
      </w:r>
      <w:r>
        <w:rPr>
          <w:rFonts w:hint="eastAsia"/>
        </w:rPr>
        <w:t>はない」</w:t>
      </w:r>
      <w:r>
        <w:rPr>
          <w:rFonts w:hint="eastAsia"/>
        </w:rPr>
        <w:t>52</w:t>
      </w:r>
      <w:r>
        <w:rPr>
          <w:rFonts w:hint="eastAsia"/>
        </w:rPr>
        <w:t>頁）。</w:t>
      </w:r>
    </w:p>
    <w:p w:rsidR="0044525C" w:rsidRDefault="0044525C" w:rsidP="0044525C">
      <w:pPr>
        <w:rPr>
          <w:rFonts w:ascii="Arial" w:eastAsia="ＭＳ ゴシック" w:hAnsi="Arial"/>
          <w:b/>
        </w:rPr>
      </w:pPr>
    </w:p>
    <w:p w:rsidR="008A6CB3" w:rsidRDefault="00280567" w:rsidP="008A6CB3">
      <w:r>
        <w:rPr>
          <w:rFonts w:hint="eastAsia"/>
        </w:rPr>
        <w:t xml:space="preserve">　</w:t>
      </w:r>
      <w:r w:rsidR="008A6CB3" w:rsidRPr="008A6CB3">
        <w:rPr>
          <w:rFonts w:hint="eastAsia"/>
        </w:rPr>
        <w:t>今年のシンポジウムにおいても、大久保直樹報告は、</w:t>
      </w:r>
      <w:r w:rsidR="008A6CB3" w:rsidRPr="0098708A">
        <w:rPr>
          <w:rFonts w:ascii="ＭＳ 明朝" w:hAnsi="ＭＳ 明朝" w:hint="eastAsia"/>
          <w:szCs w:val="21"/>
        </w:rPr>
        <w:t>新聞販路協定事件</w:t>
      </w:r>
      <w:r w:rsidR="008A6CB3">
        <w:rPr>
          <w:rFonts w:ascii="ＭＳ 明朝" w:hAnsi="ＭＳ 明朝" w:hint="eastAsia"/>
          <w:szCs w:val="21"/>
        </w:rPr>
        <w:t>判決の再検討を行い、</w:t>
      </w:r>
      <w:r w:rsidR="008A6CB3">
        <w:rPr>
          <w:rFonts w:hint="eastAsia"/>
        </w:rPr>
        <w:t>「重畳的適用」の可能性を示した。討論において、</w:t>
      </w:r>
      <w:r w:rsidR="008A6CB3" w:rsidRPr="008A6CB3">
        <w:rPr>
          <w:rFonts w:hint="eastAsia"/>
        </w:rPr>
        <w:t>山部会員</w:t>
      </w:r>
      <w:r w:rsidR="008A6CB3">
        <w:rPr>
          <w:rFonts w:hint="eastAsia"/>
        </w:rPr>
        <w:t>から</w:t>
      </w:r>
      <w:r w:rsidR="008A6CB3" w:rsidRPr="008A6CB3">
        <w:rPr>
          <w:rFonts w:hint="eastAsia"/>
        </w:rPr>
        <w:t>、「どうして縦のカルテルを認めるとしないのか」と質問があった。これに対し、大久保</w:t>
      </w:r>
      <w:r w:rsidR="008A6CB3">
        <w:rPr>
          <w:rFonts w:hint="eastAsia"/>
        </w:rPr>
        <w:t>会員は</w:t>
      </w:r>
      <w:r w:rsidR="008A6CB3" w:rsidRPr="008A6CB3">
        <w:rPr>
          <w:rFonts w:hint="eastAsia"/>
        </w:rPr>
        <w:t>「エンフォースメント次第」と</w:t>
      </w:r>
      <w:r w:rsidR="008A6CB3">
        <w:rPr>
          <w:rFonts w:hint="eastAsia"/>
        </w:rPr>
        <w:t>答えた（私の受け取り方が正確かどうかは、本年度の学会誌に掲載される記録を参照されたい）。</w:t>
      </w:r>
    </w:p>
    <w:p w:rsidR="0044525C" w:rsidRPr="0098708A" w:rsidRDefault="008A6CB3" w:rsidP="008A6CB3">
      <w:pPr>
        <w:ind w:firstLineChars="100" w:firstLine="210"/>
      </w:pPr>
      <w:r>
        <w:rPr>
          <w:rFonts w:hint="eastAsia"/>
        </w:rPr>
        <w:t>しかし、これは順序が逆であって、</w:t>
      </w:r>
      <w:r w:rsidR="0044525C" w:rsidRPr="008A6CB3">
        <w:rPr>
          <w:rFonts w:hint="eastAsia"/>
        </w:rPr>
        <w:t>まず問題となる行為に対する実体法上の法的評価とそれに基づく法の適用を考え、次に、それを除去し、競争秩序を回復するためのエンフォースメントのあり方を考えるべきであ</w:t>
      </w:r>
      <w:r w:rsidR="0044525C" w:rsidRPr="0098708A">
        <w:rPr>
          <w:rFonts w:hint="eastAsia"/>
        </w:rPr>
        <w:t>る。</w:t>
      </w:r>
    </w:p>
    <w:p w:rsidR="0044525C" w:rsidRPr="0098708A" w:rsidRDefault="0044525C" w:rsidP="0044525C">
      <w:pPr>
        <w:ind w:firstLineChars="100" w:firstLine="210"/>
        <w:rPr>
          <w:rFonts w:ascii="ＭＳ 明朝" w:hAnsi="ＭＳ 明朝"/>
          <w:szCs w:val="21"/>
        </w:rPr>
      </w:pPr>
    </w:p>
    <w:p w:rsidR="0044525C" w:rsidRPr="008A6CB3" w:rsidRDefault="008A6CB3" w:rsidP="0044525C">
      <w:pPr>
        <w:pStyle w:val="2"/>
        <w:rPr>
          <w:rFonts w:ascii="ＭＳ 明朝" w:eastAsia="ＭＳ 明朝" w:hAnsi="ＭＳ 明朝"/>
          <w:b/>
          <w:szCs w:val="21"/>
        </w:rPr>
      </w:pPr>
      <w:r w:rsidRPr="008A6CB3">
        <w:rPr>
          <w:rFonts w:ascii="ＭＳ 明朝" w:eastAsia="ＭＳ 明朝" w:hAnsi="ＭＳ 明朝" w:hint="eastAsia"/>
          <w:b/>
          <w:szCs w:val="21"/>
        </w:rPr>
        <w:t>３</w:t>
      </w:r>
      <w:r w:rsidR="0044525C" w:rsidRPr="008A6CB3">
        <w:rPr>
          <w:rFonts w:ascii="ＭＳ 明朝" w:eastAsia="ＭＳ 明朝" w:hAnsi="ＭＳ 明朝"/>
          <w:b/>
          <w:szCs w:val="21"/>
        </w:rPr>
        <w:t>．</w:t>
      </w:r>
      <w:r w:rsidR="0044525C" w:rsidRPr="008A6CB3">
        <w:rPr>
          <w:rFonts w:ascii="ＭＳ 明朝" w:eastAsia="ＭＳ 明朝" w:hAnsi="ＭＳ 明朝" w:hint="eastAsia"/>
          <w:b/>
          <w:szCs w:val="21"/>
        </w:rPr>
        <w:t>「真の行為者」</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t>新聞販路協定事件や再販の諸事件などについては、「真の行為者」が誰かをまず確定することが重要である。</w:t>
      </w:r>
    </w:p>
    <w:p w:rsidR="008A6CB3" w:rsidRPr="0098708A" w:rsidRDefault="0044525C" w:rsidP="008A6CB3">
      <w:pPr>
        <w:ind w:firstLineChars="100" w:firstLine="210"/>
        <w:rPr>
          <w:rFonts w:ascii="ＭＳ 明朝" w:hAnsi="ＭＳ 明朝"/>
          <w:szCs w:val="21"/>
        </w:rPr>
      </w:pPr>
      <w:r w:rsidRPr="0098708A">
        <w:rPr>
          <w:rFonts w:ascii="ＭＳ 明朝" w:hAnsi="ＭＳ 明朝" w:hint="eastAsia"/>
          <w:szCs w:val="21"/>
        </w:rPr>
        <w:t>第1</w:t>
      </w:r>
      <w:r w:rsidR="008A6CB3">
        <w:rPr>
          <w:rFonts w:ascii="ＭＳ 明朝" w:hAnsi="ＭＳ 明朝" w:hint="eastAsia"/>
          <w:szCs w:val="21"/>
        </w:rPr>
        <w:t>に、</w:t>
      </w:r>
      <w:r w:rsidR="008A6CB3" w:rsidRPr="0098708A">
        <w:rPr>
          <w:rFonts w:ascii="ＭＳ 明朝" w:hAnsi="ＭＳ 明朝" w:hint="eastAsia"/>
          <w:szCs w:val="21"/>
        </w:rPr>
        <w:t>メーカー</w:t>
      </w:r>
      <w:r w:rsidR="008A6CB3">
        <w:rPr>
          <w:rFonts w:ascii="ＭＳ 明朝" w:hAnsi="ＭＳ 明朝" w:hint="eastAsia"/>
          <w:szCs w:val="21"/>
        </w:rPr>
        <w:t>や新聞発行本社などが、</w:t>
      </w:r>
      <w:r w:rsidR="008A6CB3" w:rsidRPr="0098708A">
        <w:rPr>
          <w:rFonts w:ascii="ＭＳ 明朝" w:hAnsi="ＭＳ 明朝" w:hint="eastAsia"/>
          <w:szCs w:val="21"/>
        </w:rPr>
        <w:t>流通業者が</w:t>
      </w:r>
      <w:r w:rsidR="008A6CB3">
        <w:rPr>
          <w:rFonts w:ascii="ＭＳ 明朝" w:hAnsi="ＭＳ 明朝" w:hint="eastAsia"/>
          <w:szCs w:val="21"/>
        </w:rPr>
        <w:t>共同</w:t>
      </w:r>
      <w:r w:rsidR="008A6CB3" w:rsidRPr="0098708A">
        <w:rPr>
          <w:rFonts w:ascii="ＭＳ 明朝" w:hAnsi="ＭＳ 明朝" w:hint="eastAsia"/>
          <w:szCs w:val="21"/>
        </w:rPr>
        <w:t>して、販路や価格を操作したのであれば、「縦のカルテル」として、両者を</w:t>
      </w:r>
      <w:r w:rsidR="008A6CB3">
        <w:rPr>
          <w:rFonts w:ascii="ＭＳ 明朝" w:hAnsi="ＭＳ 明朝" w:hint="eastAsia"/>
          <w:szCs w:val="21"/>
        </w:rPr>
        <w:t>ともに</w:t>
      </w:r>
      <w:r w:rsidR="008A6CB3" w:rsidRPr="0098708A">
        <w:rPr>
          <w:rFonts w:ascii="ＭＳ 明朝" w:hAnsi="ＭＳ 明朝" w:hint="eastAsia"/>
          <w:szCs w:val="21"/>
        </w:rPr>
        <w:t>不当な取引制限の行為者とすべきである。</w:t>
      </w:r>
    </w:p>
    <w:p w:rsidR="0044525C" w:rsidRPr="0098708A" w:rsidRDefault="008A6CB3" w:rsidP="0044525C">
      <w:pPr>
        <w:ind w:firstLineChars="100" w:firstLine="210"/>
        <w:rPr>
          <w:rFonts w:ascii="ＭＳ 明朝" w:hAnsi="ＭＳ 明朝"/>
          <w:szCs w:val="21"/>
        </w:rPr>
      </w:pPr>
      <w:r w:rsidRPr="0098708A">
        <w:rPr>
          <w:rFonts w:ascii="ＭＳ 明朝" w:hAnsi="ＭＳ 明朝" w:hint="eastAsia"/>
          <w:szCs w:val="21"/>
        </w:rPr>
        <w:t>第2に、</w:t>
      </w:r>
      <w:r>
        <w:rPr>
          <w:rFonts w:ascii="ＭＳ 明朝" w:hAnsi="ＭＳ 明朝" w:hint="eastAsia"/>
          <w:szCs w:val="21"/>
        </w:rPr>
        <w:t>メーカー等</w:t>
      </w:r>
      <w:r w:rsidR="0044525C" w:rsidRPr="0098708A">
        <w:rPr>
          <w:rFonts w:ascii="ＭＳ 明朝" w:hAnsi="ＭＳ 明朝" w:hint="eastAsia"/>
          <w:szCs w:val="21"/>
        </w:rPr>
        <w:t>が、流通業者を「支配」して、販路や価格を操作したのであれば、「支配」による私的独占に当たる。</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t>第3に、上の第</w:t>
      </w:r>
      <w:r w:rsidR="008A6CB3">
        <w:rPr>
          <w:rFonts w:ascii="ＭＳ 明朝" w:hAnsi="ＭＳ 明朝" w:hint="eastAsia"/>
          <w:szCs w:val="21"/>
        </w:rPr>
        <w:t>1</w:t>
      </w:r>
      <w:r w:rsidRPr="0098708A">
        <w:rPr>
          <w:rFonts w:ascii="ＭＳ 明朝" w:hAnsi="ＭＳ 明朝" w:hint="eastAsia"/>
          <w:szCs w:val="21"/>
        </w:rPr>
        <w:t>の</w:t>
      </w:r>
      <w:r w:rsidR="008A6CB3">
        <w:rPr>
          <w:rFonts w:ascii="ＭＳ 明朝" w:hAnsi="ＭＳ 明朝" w:hint="eastAsia"/>
          <w:szCs w:val="21"/>
        </w:rPr>
        <w:t>場合に、</w:t>
      </w:r>
      <w:r w:rsidR="008A6CB3" w:rsidRPr="0098708A">
        <w:rPr>
          <w:rFonts w:ascii="ＭＳ 明朝" w:hAnsi="ＭＳ 明朝" w:hint="eastAsia"/>
          <w:szCs w:val="21"/>
        </w:rPr>
        <w:t>メーカー</w:t>
      </w:r>
      <w:r w:rsidR="008A6CB3">
        <w:rPr>
          <w:rFonts w:ascii="ＭＳ 明朝" w:hAnsi="ＭＳ 明朝" w:hint="eastAsia"/>
          <w:szCs w:val="21"/>
        </w:rPr>
        <w:t>や新聞発行本社などが、</w:t>
      </w:r>
      <w:r w:rsidR="008A6CB3" w:rsidRPr="0098708A">
        <w:rPr>
          <w:rFonts w:ascii="ＭＳ 明朝" w:hAnsi="ＭＳ 明朝" w:hint="eastAsia"/>
          <w:szCs w:val="21"/>
        </w:rPr>
        <w:t>流通業者が</w:t>
      </w:r>
      <w:r w:rsidR="008A6CB3">
        <w:rPr>
          <w:rFonts w:ascii="ＭＳ 明朝" w:hAnsi="ＭＳ 明朝" w:hint="eastAsia"/>
          <w:szCs w:val="21"/>
        </w:rPr>
        <w:t>共同行為をなすという</w:t>
      </w:r>
      <w:r w:rsidRPr="0098708A">
        <w:rPr>
          <w:rFonts w:ascii="ＭＳ 明朝" w:hAnsi="ＭＳ 明朝" w:hint="eastAsia"/>
          <w:szCs w:val="21"/>
        </w:rPr>
        <w:t>法適用</w:t>
      </w:r>
      <w:r w:rsidR="008A6CB3">
        <w:rPr>
          <w:rFonts w:ascii="ＭＳ 明朝" w:hAnsi="ＭＳ 明朝" w:hint="eastAsia"/>
          <w:szCs w:val="21"/>
        </w:rPr>
        <w:t>を行うことと並んで</w:t>
      </w:r>
      <w:r w:rsidRPr="0098708A">
        <w:rPr>
          <w:rFonts w:ascii="ＭＳ 明朝" w:hAnsi="ＭＳ 明朝" w:hint="eastAsia"/>
          <w:szCs w:val="21"/>
        </w:rPr>
        <w:t>、一部の流通業者が拘束を拒否して独自の動きをしようとするのをメーカーが抑えるのであれば、メーカーの当該行為は私的独占にも当たる。</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t>新聞販路協定事件</w:t>
      </w:r>
      <w:r w:rsidR="008A6CB3">
        <w:rPr>
          <w:rFonts w:ascii="ＭＳ 明朝" w:hAnsi="ＭＳ 明朝" w:hint="eastAsia"/>
          <w:szCs w:val="21"/>
        </w:rPr>
        <w:t>判決が</w:t>
      </w:r>
      <w:r w:rsidRPr="0098708A">
        <w:rPr>
          <w:rFonts w:ascii="ＭＳ 明朝" w:hAnsi="ＭＳ 明朝" w:hint="eastAsia"/>
          <w:szCs w:val="21"/>
        </w:rPr>
        <w:t>、流通業者のカルテルだけを捉え、新聞発行本社が地域割りを行ったということを放置したのは、あまりに実態と乖離した法の適用である。同事件では、上の第</w:t>
      </w:r>
      <w:r w:rsidR="008A6CB3">
        <w:rPr>
          <w:rFonts w:ascii="ＭＳ 明朝" w:hAnsi="ＭＳ 明朝" w:hint="eastAsia"/>
          <w:szCs w:val="21"/>
        </w:rPr>
        <w:t>１</w:t>
      </w:r>
      <w:r w:rsidRPr="0098708A">
        <w:rPr>
          <w:rFonts w:ascii="ＭＳ 明朝" w:hAnsi="ＭＳ 明朝" w:hint="eastAsia"/>
          <w:szCs w:val="21"/>
        </w:rPr>
        <w:t>、あるいは第３のケースに当たるのであろう。</w:t>
      </w:r>
    </w:p>
    <w:p w:rsidR="0044525C" w:rsidRPr="008A6CB3" w:rsidRDefault="0044525C" w:rsidP="008A6CB3"/>
    <w:p w:rsidR="0044525C" w:rsidRPr="0098708A" w:rsidRDefault="0044525C" w:rsidP="0044525C">
      <w:pPr>
        <w:ind w:firstLineChars="100" w:firstLine="210"/>
        <w:rPr>
          <w:rFonts w:ascii="ＭＳ 明朝" w:hAnsi="ＭＳ 明朝"/>
          <w:szCs w:val="21"/>
        </w:rPr>
      </w:pPr>
      <w:r w:rsidRPr="0098708A">
        <w:rPr>
          <w:rFonts w:ascii="ＭＳ 明朝" w:hAnsi="ＭＳ 明朝"/>
          <w:szCs w:val="21"/>
        </w:rPr>
        <w:t>ここで</w:t>
      </w:r>
      <w:r w:rsidRPr="0098708A">
        <w:rPr>
          <w:rFonts w:ascii="ＭＳ 明朝" w:hAnsi="ＭＳ 明朝" w:hint="eastAsia"/>
          <w:szCs w:val="21"/>
        </w:rPr>
        <w:t>「真の行為者」とは、違反行為を行った者という平板な意味ではなく、当該違反行為を企画し、推進する原動力となった者という意味である。例えば、再販は結果から見れば、メーカーと流通業者の共同行為であり、反トラスト法ではこの点を捉えて、カルテルに当たるとする</w:t>
      </w:r>
      <w:r w:rsidR="008A6CB3">
        <w:rPr>
          <w:rFonts w:ascii="ＭＳ 明朝" w:hAnsi="ＭＳ 明朝" w:hint="eastAsia"/>
          <w:szCs w:val="21"/>
        </w:rPr>
        <w:t>ようである</w:t>
      </w:r>
      <w:r w:rsidRPr="0098708A">
        <w:rPr>
          <w:rFonts w:ascii="ＭＳ 明朝" w:hAnsi="ＭＳ 明朝" w:hint="eastAsia"/>
          <w:szCs w:val="21"/>
        </w:rPr>
        <w:t>が、これは形式的な捉え方であって、実態を正確に捉えていない。</w:t>
      </w:r>
    </w:p>
    <w:p w:rsidR="0044525C" w:rsidRDefault="0044525C" w:rsidP="0044525C">
      <w:pPr>
        <w:ind w:firstLineChars="100" w:firstLine="210"/>
        <w:rPr>
          <w:rFonts w:ascii="ＭＳ 明朝" w:hAnsi="ＭＳ 明朝"/>
          <w:szCs w:val="21"/>
        </w:rPr>
      </w:pPr>
      <w:r w:rsidRPr="0098708A">
        <w:rPr>
          <w:rFonts w:ascii="ＭＳ 明朝" w:hAnsi="ＭＳ 明朝"/>
          <w:szCs w:val="21"/>
        </w:rPr>
        <w:t>このように</w:t>
      </w:r>
      <w:r w:rsidRPr="0098708A">
        <w:rPr>
          <w:rFonts w:ascii="ＭＳ 明朝" w:hAnsi="ＭＳ 明朝" w:hint="eastAsia"/>
          <w:szCs w:val="21"/>
        </w:rPr>
        <w:t>「真の行為者」を捉えることは、実態が複雑であることが多く、法の適用も難しいが、必要不可欠な作業である。</w:t>
      </w:r>
    </w:p>
    <w:p w:rsidR="00D26E3A" w:rsidRPr="0098708A" w:rsidRDefault="00D26E3A" w:rsidP="0044525C">
      <w:pPr>
        <w:ind w:firstLineChars="100" w:firstLine="210"/>
        <w:rPr>
          <w:rFonts w:ascii="ＭＳ 明朝" w:hAnsi="ＭＳ 明朝"/>
          <w:szCs w:val="21"/>
        </w:rPr>
      </w:pPr>
    </w:p>
    <w:p w:rsidR="0044525C" w:rsidRPr="0098708A" w:rsidRDefault="0044525C" w:rsidP="008A6CB3">
      <w:pPr>
        <w:ind w:left="210"/>
        <w:rPr>
          <w:rFonts w:ascii="ＭＳ 明朝" w:hAnsi="ＭＳ 明朝"/>
          <w:szCs w:val="21"/>
        </w:rPr>
      </w:pPr>
      <w:r w:rsidRPr="0098708A">
        <w:rPr>
          <w:rFonts w:ascii="ＭＳ 明朝" w:hAnsi="ＭＳ 明朝"/>
          <w:szCs w:val="21"/>
        </w:rPr>
        <w:t>(注</w:t>
      </w:r>
      <w:r w:rsidRPr="0098708A">
        <w:rPr>
          <w:rFonts w:ascii="ＭＳ 明朝" w:hAnsi="ＭＳ 明朝" w:hint="eastAsia"/>
          <w:szCs w:val="21"/>
        </w:rPr>
        <w:t>)</w:t>
      </w:r>
      <w:r w:rsidRPr="0098708A">
        <w:rPr>
          <w:rFonts w:ascii="ＭＳ 明朝" w:hAnsi="ＭＳ 明朝"/>
          <w:szCs w:val="21"/>
        </w:rPr>
        <w:t xml:space="preserve">　私はかつて、</w:t>
      </w:r>
      <w:r w:rsidRPr="0098708A">
        <w:rPr>
          <w:rFonts w:ascii="ＭＳ 明朝" w:hAnsi="ＭＳ 明朝" w:hint="eastAsia"/>
          <w:szCs w:val="21"/>
        </w:rPr>
        <w:t>「ビール卸の不当廉売か、イオンの優越的地位の濫用か？」において、「真の行為者」の捉え方によって、不当廉売と優越的地位の濫用か？」において、「真の行為者」の捉え方によって、不当廉売と優越的地位の濫用のいずれかが決せられると説いた。舟田・個人ホームページ参照（</w:t>
      </w:r>
      <w:hyperlink r:id="rId8" w:history="1">
        <w:r w:rsidRPr="0098708A">
          <w:rPr>
            <w:rStyle w:val="a6"/>
            <w:rFonts w:ascii="ＭＳ 明朝" w:hAnsi="ＭＳ 明朝"/>
            <w:szCs w:val="21"/>
          </w:rPr>
          <w:t>http://www.pluto.dti.ne.jp/~funada/</w:t>
        </w:r>
      </w:hyperlink>
      <w:r w:rsidRPr="0098708A">
        <w:rPr>
          <w:rFonts w:ascii="ＭＳ 明朝" w:hAnsi="ＭＳ 明朝"/>
          <w:szCs w:val="21"/>
        </w:rPr>
        <w:t>）。</w:t>
      </w:r>
    </w:p>
    <w:p w:rsidR="0044525C" w:rsidRPr="0098708A" w:rsidRDefault="0044525C" w:rsidP="0044525C">
      <w:pPr>
        <w:ind w:firstLineChars="100" w:firstLine="210"/>
        <w:rPr>
          <w:rFonts w:ascii="ＭＳ 明朝" w:hAnsi="ＭＳ 明朝"/>
          <w:szCs w:val="21"/>
        </w:rPr>
      </w:pPr>
    </w:p>
    <w:p w:rsidR="0044525C" w:rsidRPr="008A6CB3" w:rsidRDefault="0044525C" w:rsidP="0044525C">
      <w:pPr>
        <w:pStyle w:val="2"/>
        <w:rPr>
          <w:rFonts w:ascii="ＭＳ 明朝" w:eastAsia="ＭＳ 明朝" w:hAnsi="ＭＳ 明朝"/>
          <w:b/>
          <w:szCs w:val="21"/>
        </w:rPr>
      </w:pPr>
      <w:r w:rsidRPr="008A6CB3">
        <w:rPr>
          <w:rFonts w:ascii="ＭＳ 明朝" w:eastAsia="ＭＳ 明朝" w:hAnsi="ＭＳ 明朝"/>
          <w:b/>
          <w:szCs w:val="21"/>
        </w:rPr>
        <w:t>４．私的独占における「支配」</w:t>
      </w:r>
      <w:r w:rsidRPr="008A6CB3">
        <w:rPr>
          <w:rFonts w:ascii="ＭＳ 明朝" w:eastAsia="ＭＳ 明朝" w:hAnsi="ＭＳ 明朝" w:hint="eastAsia"/>
          <w:b/>
          <w:szCs w:val="21"/>
        </w:rPr>
        <w:t>との関係</w:t>
      </w:r>
    </w:p>
    <w:p w:rsidR="0044525C" w:rsidRPr="0098708A" w:rsidRDefault="0044525C" w:rsidP="0044525C">
      <w:pPr>
        <w:ind w:firstLineChars="100" w:firstLine="210"/>
        <w:rPr>
          <w:rFonts w:ascii="ＭＳ 明朝" w:hAnsi="ＭＳ 明朝"/>
          <w:szCs w:val="21"/>
        </w:rPr>
      </w:pPr>
      <w:r w:rsidRPr="0098708A">
        <w:rPr>
          <w:rFonts w:ascii="ＭＳ 明朝" w:hAnsi="ＭＳ 明朝"/>
          <w:szCs w:val="21"/>
        </w:rPr>
        <w:t>上のように考えるとすれば、私的独占における「支配」と不当な取引制限とを組み合わせて適用すべきケースが出てくる（例えば上の第３のケース）。</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t>この点で、柴田</w:t>
      </w:r>
      <w:r w:rsidR="008A6CB3">
        <w:rPr>
          <w:rFonts w:ascii="ＭＳ 明朝" w:hAnsi="ＭＳ 明朝" w:hint="eastAsia"/>
          <w:szCs w:val="21"/>
        </w:rPr>
        <w:t>潤子</w:t>
      </w:r>
      <w:r w:rsidRPr="0098708A">
        <w:rPr>
          <w:rFonts w:ascii="ＭＳ 明朝" w:hAnsi="ＭＳ 明朝" w:hint="eastAsia"/>
          <w:szCs w:val="21"/>
        </w:rPr>
        <w:t>報告が、</w:t>
      </w:r>
      <w:r w:rsidRPr="0098708A">
        <w:rPr>
          <w:rFonts w:ascii="ＭＳ 明朝" w:hAnsi="ＭＳ 明朝"/>
          <w:szCs w:val="21"/>
        </w:rPr>
        <w:t>私的独占における「支配」を、</w:t>
      </w:r>
      <w:r w:rsidRPr="0098708A">
        <w:rPr>
          <w:rFonts w:ascii="ＭＳ 明朝" w:hAnsi="ＭＳ 明朝" w:hint="eastAsia"/>
          <w:szCs w:val="21"/>
        </w:rPr>
        <w:t>直截かつ直ちに事業活動を支配する手段であるトラスト的な支配手段の問題というのは希薄化し、より幅広く支配行為を捉えるというのが近年の傾向であると述べたことは示唆的である。そこに示されたように、私的独占における「支配」を第1の場合だけでなく、第3の場合のように、複数の</w:t>
      </w:r>
      <w:r w:rsidRPr="0098708A">
        <w:rPr>
          <w:rFonts w:ascii="ＭＳ 明朝" w:hAnsi="ＭＳ 明朝" w:hint="eastAsia"/>
          <w:szCs w:val="21"/>
        </w:rPr>
        <w:lastRenderedPageBreak/>
        <w:t>行為者の内部での支配にも目を向けることが重要である。</w:t>
      </w:r>
    </w:p>
    <w:p w:rsidR="0044525C" w:rsidRPr="0098708A" w:rsidRDefault="0044525C" w:rsidP="0044525C">
      <w:pPr>
        <w:ind w:firstLineChars="100" w:firstLine="210"/>
        <w:rPr>
          <w:rFonts w:ascii="ＭＳ 明朝" w:hAnsi="ＭＳ 明朝"/>
          <w:szCs w:val="21"/>
        </w:rPr>
      </w:pPr>
    </w:p>
    <w:p w:rsidR="00280567" w:rsidRPr="0098708A" w:rsidRDefault="00280567" w:rsidP="00280567">
      <w:pPr>
        <w:ind w:firstLineChars="100" w:firstLine="210"/>
        <w:rPr>
          <w:rFonts w:ascii="ＭＳ 明朝" w:hAnsi="ＭＳ 明朝"/>
          <w:szCs w:val="21"/>
        </w:rPr>
      </w:pPr>
      <w:r>
        <w:rPr>
          <w:rFonts w:ascii="ＭＳ 明朝" w:hAnsi="ＭＳ 明朝" w:hint="eastAsia"/>
          <w:szCs w:val="21"/>
        </w:rPr>
        <w:t>上の点について、</w:t>
      </w:r>
      <w:r w:rsidRPr="0098708A">
        <w:rPr>
          <w:rFonts w:ascii="ＭＳ 明朝" w:hAnsi="ＭＳ 明朝" w:hint="eastAsia"/>
          <w:szCs w:val="21"/>
        </w:rPr>
        <w:t>柴田</w:t>
      </w:r>
      <w:r>
        <w:rPr>
          <w:rFonts w:ascii="ＭＳ 明朝" w:hAnsi="ＭＳ 明朝" w:hint="eastAsia"/>
          <w:szCs w:val="21"/>
        </w:rPr>
        <w:t>潤子</w:t>
      </w:r>
      <w:r w:rsidRPr="0098708A">
        <w:rPr>
          <w:rFonts w:ascii="ＭＳ 明朝" w:hAnsi="ＭＳ 明朝" w:hint="eastAsia"/>
          <w:szCs w:val="21"/>
        </w:rPr>
        <w:t>報告</w:t>
      </w:r>
      <w:r>
        <w:rPr>
          <w:rFonts w:ascii="ＭＳ 明朝" w:hAnsi="ＭＳ 明朝" w:hint="eastAsia"/>
          <w:szCs w:val="21"/>
        </w:rPr>
        <w:t>その他において重要と思われる指摘があ</w:t>
      </w:r>
      <w:r>
        <w:rPr>
          <w:rFonts w:ascii="ＭＳ 明朝" w:hAnsi="ＭＳ 明朝" w:hint="eastAsia"/>
          <w:szCs w:val="21"/>
        </w:rPr>
        <w:t>る</w:t>
      </w:r>
      <w:bookmarkStart w:id="0" w:name="_GoBack"/>
      <w:bookmarkEnd w:id="0"/>
      <w:r>
        <w:rPr>
          <w:rFonts w:ascii="ＭＳ 明朝" w:hAnsi="ＭＳ 明朝" w:hint="eastAsia"/>
          <w:szCs w:val="21"/>
        </w:rPr>
        <w:t>ので、</w:t>
      </w:r>
      <w:r w:rsidRPr="0098708A">
        <w:rPr>
          <w:rFonts w:ascii="ＭＳ 明朝" w:hAnsi="ＭＳ 明朝"/>
          <w:szCs w:val="21"/>
        </w:rPr>
        <w:t>以下、</w:t>
      </w:r>
      <w:r>
        <w:rPr>
          <w:rFonts w:ascii="ＭＳ 明朝" w:hAnsi="ＭＳ 明朝" w:hint="eastAsia"/>
          <w:szCs w:val="21"/>
        </w:rPr>
        <w:t>引用または指摘の要旨を並べておく</w:t>
      </w:r>
      <w:r w:rsidRPr="0098708A">
        <w:rPr>
          <w:rFonts w:ascii="ＭＳ 明朝" w:hAnsi="ＭＳ 明朝" w:hint="eastAsia"/>
          <w:szCs w:val="21"/>
        </w:rPr>
        <w:t>。</w:t>
      </w:r>
    </w:p>
    <w:p w:rsidR="0044525C" w:rsidRPr="0098708A" w:rsidRDefault="0044525C" w:rsidP="0044525C">
      <w:pPr>
        <w:ind w:firstLineChars="100" w:firstLine="210"/>
        <w:rPr>
          <w:rFonts w:ascii="ＭＳ 明朝" w:hAnsi="ＭＳ 明朝"/>
          <w:szCs w:val="21"/>
        </w:rPr>
      </w:pPr>
      <w:r w:rsidRPr="0098708A">
        <w:rPr>
          <w:rFonts w:ascii="ＭＳ 明朝" w:hAnsi="ＭＳ 明朝"/>
          <w:szCs w:val="21"/>
        </w:rPr>
        <w:t>「</w:t>
      </w:r>
      <w:r w:rsidRPr="0098708A">
        <w:rPr>
          <w:rFonts w:ascii="ＭＳ 明朝" w:hAnsi="ＭＳ 明朝" w:hint="eastAsia"/>
          <w:szCs w:val="21"/>
        </w:rPr>
        <w:t>不当な取引制限においては、基本的に対等な関係が前提となり、共通の目的を持って競争を相互に回避しているかどうかが判断の基準となる。日本医療食協会事件では、----対等な関係での合意の存在が認められず、相互拘束要件の充足は困難である。」</w:t>
      </w:r>
      <w:r w:rsidR="008A6CB3">
        <w:rPr>
          <w:rFonts w:ascii="ＭＳ 明朝" w:hAnsi="ＭＳ 明朝" w:hint="eastAsia"/>
          <w:szCs w:val="21"/>
        </w:rPr>
        <w:t>（</w:t>
      </w:r>
      <w:r w:rsidR="008A6CB3" w:rsidRPr="0098708A">
        <w:rPr>
          <w:rFonts w:ascii="ＭＳ 明朝" w:hAnsi="ＭＳ 明朝" w:hint="eastAsia"/>
          <w:szCs w:val="21"/>
        </w:rPr>
        <w:t>柴田</w:t>
      </w:r>
      <w:r w:rsidR="008A6CB3">
        <w:rPr>
          <w:rFonts w:ascii="ＭＳ 明朝" w:hAnsi="ＭＳ 明朝" w:hint="eastAsia"/>
          <w:szCs w:val="21"/>
        </w:rPr>
        <w:t>潤子・</w:t>
      </w:r>
      <w:r w:rsidR="008A6CB3" w:rsidRPr="0098708A">
        <w:rPr>
          <w:rFonts w:ascii="ＭＳ 明朝" w:hAnsi="ＭＳ 明朝" w:hint="eastAsia"/>
          <w:szCs w:val="21"/>
        </w:rPr>
        <w:t>日本経済法学会</w:t>
      </w:r>
      <w:r w:rsidR="008A6CB3">
        <w:rPr>
          <w:rFonts w:ascii="ＭＳ 明朝" w:hAnsi="ＭＳ 明朝" w:hint="eastAsia"/>
          <w:szCs w:val="21"/>
        </w:rPr>
        <w:t>年報38号23頁）</w:t>
      </w:r>
    </w:p>
    <w:p w:rsidR="0044525C" w:rsidRPr="0098708A" w:rsidRDefault="0044525C" w:rsidP="0044525C">
      <w:pPr>
        <w:ind w:firstLineChars="100" w:firstLine="210"/>
        <w:rPr>
          <w:rFonts w:ascii="ＭＳ 明朝" w:hAnsi="ＭＳ 明朝"/>
          <w:szCs w:val="21"/>
        </w:rPr>
      </w:pPr>
      <w:r w:rsidRPr="0098708A">
        <w:rPr>
          <w:rFonts w:ascii="ＭＳ 明朝" w:hAnsi="ＭＳ 明朝"/>
          <w:szCs w:val="21"/>
        </w:rPr>
        <w:t>「</w:t>
      </w:r>
      <w:r w:rsidRPr="0098708A">
        <w:rPr>
          <w:rFonts w:ascii="ＭＳ 明朝" w:hAnsi="ＭＳ 明朝" w:hint="eastAsia"/>
          <w:szCs w:val="21"/>
        </w:rPr>
        <w:t>福井県経済農業協同組合連合会事件＝排除措置命令平成27・1・16（審決集61巻142頁）-----同連合会の「指定」・「指示」があり、</w:t>
      </w:r>
      <w:r w:rsidRPr="0098708A">
        <w:rPr>
          <w:rFonts w:ascii="ＭＳ 明朝" w:hAnsi="ＭＳ 明朝"/>
          <w:szCs w:val="21"/>
        </w:rPr>
        <w:t>そ</w:t>
      </w:r>
      <w:r w:rsidRPr="0098708A">
        <w:rPr>
          <w:rFonts w:ascii="ＭＳ 明朝" w:hAnsi="ＭＳ 明朝" w:hint="eastAsia"/>
          <w:szCs w:val="21"/>
        </w:rPr>
        <w:t>のイニシアティブに相手方が従っていたということから「支配」が認められた」</w:t>
      </w:r>
      <w:r w:rsidR="008A6CB3">
        <w:rPr>
          <w:rFonts w:ascii="ＭＳ 明朝" w:hAnsi="ＭＳ 明朝" w:hint="eastAsia"/>
          <w:szCs w:val="21"/>
        </w:rPr>
        <w:t>（</w:t>
      </w:r>
      <w:r w:rsidRPr="0098708A">
        <w:rPr>
          <w:rFonts w:ascii="ＭＳ 明朝" w:hAnsi="ＭＳ 明朝" w:hint="eastAsia"/>
          <w:szCs w:val="21"/>
        </w:rPr>
        <w:t>山部俊文「施主代行者による支配型私的独占」ジュリスト</w:t>
      </w:r>
      <w:r w:rsidRPr="0098708A">
        <w:rPr>
          <w:rFonts w:ascii="ＭＳ 明朝" w:hAnsi="ＭＳ 明朝"/>
          <w:szCs w:val="21"/>
        </w:rPr>
        <w:t>1481</w:t>
      </w:r>
      <w:r w:rsidRPr="0098708A">
        <w:rPr>
          <w:rFonts w:ascii="ＭＳ 明朝" w:hAnsi="ＭＳ 明朝" w:hint="eastAsia"/>
          <w:szCs w:val="21"/>
        </w:rPr>
        <w:t>号</w:t>
      </w:r>
      <w:r w:rsidRPr="0098708A">
        <w:rPr>
          <w:rFonts w:ascii="ＭＳ 明朝" w:hAnsi="ＭＳ 明朝"/>
          <w:szCs w:val="21"/>
        </w:rPr>
        <w:t>76</w:t>
      </w:r>
      <w:r w:rsidRPr="0098708A">
        <w:rPr>
          <w:rFonts w:ascii="ＭＳ 明朝" w:hAnsi="ＭＳ 明朝" w:hint="eastAsia"/>
          <w:szCs w:val="21"/>
        </w:rPr>
        <w:t>頁</w:t>
      </w:r>
      <w:r w:rsidR="00D26E3A" w:rsidRPr="002074E3">
        <w:rPr>
          <w:rFonts w:ascii="ＭＳ 明朝" w:hAnsi="ＭＳ 明朝" w:cs="Arial" w:hint="eastAsia"/>
          <w:kern w:val="0"/>
          <w:szCs w:val="21"/>
        </w:rPr>
        <w:t>（2015）</w:t>
      </w:r>
      <w:r w:rsidR="008A6CB3">
        <w:rPr>
          <w:rFonts w:ascii="ＭＳ 明朝" w:hAnsi="ＭＳ 明朝" w:hint="eastAsia"/>
          <w:szCs w:val="21"/>
        </w:rPr>
        <w:t>）。</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t>泉水文雄「私的独占規制における支配型規制及びエンフォースメントのあり方」日本経済法学会年報28</w:t>
      </w:r>
      <w:r w:rsidR="008A6CB3">
        <w:rPr>
          <w:rFonts w:ascii="ＭＳ 明朝" w:hAnsi="ＭＳ 明朝" w:hint="eastAsia"/>
          <w:szCs w:val="21"/>
        </w:rPr>
        <w:t>号54</w:t>
      </w:r>
      <w:r w:rsidRPr="0098708A">
        <w:rPr>
          <w:rFonts w:ascii="ＭＳ 明朝" w:hAnsi="ＭＳ 明朝" w:hint="eastAsia"/>
          <w:szCs w:val="21"/>
        </w:rPr>
        <w:t>頁以下、</w:t>
      </w:r>
      <w:r w:rsidRPr="0098708A">
        <w:rPr>
          <w:rFonts w:ascii="ＭＳ 明朝" w:hAnsi="ＭＳ 明朝"/>
          <w:szCs w:val="21"/>
        </w:rPr>
        <w:t>58</w:t>
      </w:r>
      <w:r w:rsidRPr="0098708A">
        <w:rPr>
          <w:rFonts w:ascii="ＭＳ 明朝" w:hAnsi="ＭＳ 明朝" w:hint="eastAsia"/>
          <w:szCs w:val="21"/>
        </w:rPr>
        <w:t>頁(2007)では、支配型は、不当な取引制限の解釈の必要性から出現したとされる。</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t>「支配」は、他の事業者を協力させる趣旨であるから、欧米の競争法では、共同行為規制に含まれる。欧米における共同行為と単独行為規制</w:t>
      </w:r>
      <w:r w:rsidRPr="0098708A">
        <w:rPr>
          <w:rFonts w:ascii="ＭＳ 明朝" w:hAnsi="ＭＳ 明朝"/>
          <w:szCs w:val="21"/>
        </w:rPr>
        <w:t>(</w:t>
      </w:r>
      <w:r w:rsidRPr="0098708A">
        <w:rPr>
          <w:rFonts w:ascii="ＭＳ 明朝" w:hAnsi="ＭＳ 明朝" w:hint="eastAsia"/>
          <w:szCs w:val="21"/>
        </w:rPr>
        <w:t>独占力規制</w:t>
      </w:r>
      <w:r w:rsidRPr="0098708A">
        <w:rPr>
          <w:rFonts w:ascii="ＭＳ 明朝" w:hAnsi="ＭＳ 明朝"/>
          <w:szCs w:val="21"/>
        </w:rPr>
        <w:t>)</w:t>
      </w:r>
      <w:r w:rsidRPr="0098708A">
        <w:rPr>
          <w:rFonts w:ascii="ＭＳ 明朝" w:hAnsi="ＭＳ 明朝" w:hint="eastAsia"/>
          <w:szCs w:val="21"/>
        </w:rPr>
        <w:t>の区分が日本の独占禁止法の不当な取引制限・私的独占区分にそのまま対応しえないことについては、鈴木孝之「独占禁止法実体規定における行為要件の役割」白鴎大学法科大学院紀要第</w:t>
      </w:r>
      <w:r w:rsidRPr="0098708A">
        <w:rPr>
          <w:rFonts w:ascii="ＭＳ 明朝" w:hAnsi="ＭＳ 明朝"/>
          <w:szCs w:val="21"/>
        </w:rPr>
        <w:t>9</w:t>
      </w:r>
      <w:r w:rsidRPr="0098708A">
        <w:rPr>
          <w:rFonts w:ascii="ＭＳ 明朝" w:hAnsi="ＭＳ 明朝" w:hint="eastAsia"/>
          <w:szCs w:val="21"/>
        </w:rPr>
        <w:t>号</w:t>
      </w:r>
      <w:r w:rsidRPr="0098708A">
        <w:rPr>
          <w:rFonts w:ascii="ＭＳ 明朝" w:hAnsi="ＭＳ 明朝"/>
          <w:szCs w:val="21"/>
        </w:rPr>
        <w:t>19</w:t>
      </w:r>
      <w:r w:rsidRPr="0098708A">
        <w:rPr>
          <w:rFonts w:ascii="ＭＳ 明朝" w:hAnsi="ＭＳ 明朝" w:hint="eastAsia"/>
          <w:szCs w:val="21"/>
        </w:rPr>
        <w:t>頁以下</w:t>
      </w:r>
      <w:r w:rsidRPr="0098708A">
        <w:rPr>
          <w:rFonts w:ascii="ＭＳ 明朝" w:hAnsi="ＭＳ 明朝"/>
          <w:szCs w:val="21"/>
        </w:rPr>
        <w:t xml:space="preserve"> 19</w:t>
      </w:r>
      <w:r w:rsidRPr="0098708A">
        <w:rPr>
          <w:rFonts w:ascii="ＭＳ 明朝" w:hAnsi="ＭＳ 明朝" w:hint="eastAsia"/>
          <w:szCs w:val="21"/>
        </w:rPr>
        <w:t>頁以下</w:t>
      </w:r>
      <w:r w:rsidR="008A6CB3" w:rsidRPr="009270DC">
        <w:rPr>
          <w:rFonts w:ascii="ＭＳ 明朝" w:hAnsi="ＭＳ 明朝" w:cs="メイリオ" w:hint="eastAsia"/>
          <w:szCs w:val="21"/>
        </w:rPr>
        <w:t>（2015）</w:t>
      </w:r>
      <w:r w:rsidRPr="0098708A">
        <w:rPr>
          <w:rFonts w:ascii="ＭＳ 明朝" w:hAnsi="ＭＳ 明朝" w:hint="eastAsia"/>
          <w:szCs w:val="21"/>
        </w:rPr>
        <w:t>参照。私的独占が共同行為</w:t>
      </w:r>
      <w:r w:rsidR="008A6CB3">
        <w:rPr>
          <w:rFonts w:ascii="ＭＳ 明朝" w:hAnsi="ＭＳ 明朝" w:hint="eastAsia"/>
          <w:szCs w:val="21"/>
        </w:rPr>
        <w:t>規制を一部引き受けるものとなっているということについて詳論して</w:t>
      </w:r>
      <w:r w:rsidRPr="0098708A">
        <w:rPr>
          <w:rFonts w:ascii="ＭＳ 明朝" w:hAnsi="ＭＳ 明朝" w:hint="eastAsia"/>
          <w:szCs w:val="21"/>
        </w:rPr>
        <w:t>いる。</w:t>
      </w:r>
    </w:p>
    <w:p w:rsidR="0044525C" w:rsidRPr="0098708A" w:rsidRDefault="0044525C" w:rsidP="0044525C">
      <w:pPr>
        <w:rPr>
          <w:rFonts w:ascii="ＭＳ 明朝" w:hAnsi="ＭＳ 明朝"/>
          <w:szCs w:val="21"/>
        </w:rPr>
      </w:pPr>
    </w:p>
    <w:p w:rsidR="0044525C" w:rsidRPr="008A6CB3" w:rsidRDefault="008A6CB3" w:rsidP="0044525C">
      <w:pPr>
        <w:pStyle w:val="2"/>
        <w:rPr>
          <w:rFonts w:ascii="ＭＳ 明朝" w:eastAsia="ＭＳ 明朝" w:hAnsi="ＭＳ 明朝"/>
          <w:b/>
          <w:szCs w:val="21"/>
        </w:rPr>
      </w:pPr>
      <w:r w:rsidRPr="008A6CB3">
        <w:rPr>
          <w:rFonts w:ascii="ＭＳ 明朝" w:eastAsia="ＭＳ 明朝" w:hAnsi="ＭＳ 明朝" w:hint="eastAsia"/>
          <w:b/>
          <w:szCs w:val="21"/>
        </w:rPr>
        <w:t>５</w:t>
      </w:r>
      <w:r w:rsidR="0044525C" w:rsidRPr="008A6CB3">
        <w:rPr>
          <w:rFonts w:ascii="ＭＳ 明朝" w:eastAsia="ＭＳ 明朝" w:hAnsi="ＭＳ 明朝"/>
          <w:b/>
          <w:szCs w:val="21"/>
        </w:rPr>
        <w:t>．反競争的</w:t>
      </w:r>
      <w:r w:rsidR="0044525C" w:rsidRPr="008A6CB3">
        <w:rPr>
          <w:rFonts w:ascii="ＭＳ 明朝" w:eastAsia="ＭＳ 明朝" w:hAnsi="ＭＳ 明朝" w:hint="eastAsia"/>
          <w:b/>
          <w:szCs w:val="21"/>
        </w:rPr>
        <w:t>行為の絞り</w:t>
      </w:r>
    </w:p>
    <w:p w:rsidR="0044525C" w:rsidRPr="0098708A" w:rsidRDefault="008A6CB3" w:rsidP="0044525C">
      <w:pPr>
        <w:ind w:firstLineChars="100" w:firstLine="210"/>
        <w:rPr>
          <w:rFonts w:ascii="ＭＳ 明朝" w:hAnsi="ＭＳ 明朝"/>
          <w:szCs w:val="21"/>
        </w:rPr>
      </w:pPr>
      <w:r w:rsidRPr="0098708A">
        <w:rPr>
          <w:rFonts w:ascii="ＭＳ 明朝" w:hAnsi="ＭＳ 明朝" w:hint="eastAsia"/>
          <w:szCs w:val="21"/>
        </w:rPr>
        <w:t>新聞販路協定事件</w:t>
      </w:r>
      <w:r>
        <w:rPr>
          <w:rFonts w:ascii="ＭＳ 明朝" w:hAnsi="ＭＳ 明朝" w:hint="eastAsia"/>
          <w:szCs w:val="21"/>
        </w:rPr>
        <w:t>判決が不当な取引制限は「横のカルテル」に限るとし、多くの学説も</w:t>
      </w:r>
      <w:r>
        <w:rPr>
          <w:rFonts w:ascii="ＭＳ 明朝" w:hAnsi="ＭＳ 明朝"/>
          <w:szCs w:val="21"/>
        </w:rPr>
        <w:t>「縦のカルテル」を認めるのに躊躇する</w:t>
      </w:r>
      <w:r>
        <w:rPr>
          <w:rFonts w:ascii="ＭＳ 明朝" w:hAnsi="ＭＳ 明朝" w:hint="eastAsia"/>
          <w:szCs w:val="21"/>
        </w:rPr>
        <w:t>理由は</w:t>
      </w:r>
      <w:r w:rsidR="0044525C" w:rsidRPr="0098708A">
        <w:rPr>
          <w:rFonts w:ascii="ＭＳ 明朝" w:hAnsi="ＭＳ 明朝"/>
          <w:szCs w:val="21"/>
        </w:rPr>
        <w:t>、すべての双務契約は当事者間の「相互拘束」から成り立つものであり、不当な取引制限の射程があまりに広くなりすぎる、という漠然とした懸念があるからではないだろうか。</w:t>
      </w:r>
    </w:p>
    <w:p w:rsidR="0044525C" w:rsidRPr="0098708A" w:rsidRDefault="0044525C" w:rsidP="0044525C">
      <w:pPr>
        <w:rPr>
          <w:rFonts w:ascii="ＭＳ 明朝" w:hAnsi="ＭＳ 明朝"/>
          <w:szCs w:val="21"/>
        </w:rPr>
      </w:pPr>
      <w:r w:rsidRPr="0098708A">
        <w:rPr>
          <w:rFonts w:ascii="ＭＳ 明朝" w:hAnsi="ＭＳ 明朝"/>
          <w:szCs w:val="21"/>
        </w:rPr>
        <w:t xml:space="preserve">　契約上の「相互拘束」と、不当な取引制限における「相互拘束」は、</w:t>
      </w:r>
      <w:r w:rsidRPr="0098708A">
        <w:rPr>
          <w:rFonts w:ascii="ＭＳ 明朝" w:hAnsi="ＭＳ 明朝" w:hint="eastAsia"/>
          <w:szCs w:val="21"/>
        </w:rPr>
        <w:t>異なる法律上の規定に基づく、内容の</w:t>
      </w:r>
      <w:r w:rsidRPr="0098708A">
        <w:rPr>
          <w:rFonts w:ascii="ＭＳ 明朝" w:hAnsi="ＭＳ 明朝"/>
          <w:szCs w:val="21"/>
        </w:rPr>
        <w:t>異なる概念であるが、どう異なるかを</w:t>
      </w:r>
      <w:r w:rsidR="008A6CB3">
        <w:rPr>
          <w:rFonts w:ascii="ＭＳ 明朝" w:hAnsi="ＭＳ 明朝" w:hint="eastAsia"/>
          <w:szCs w:val="21"/>
        </w:rPr>
        <w:t>外形ないし</w:t>
      </w:r>
      <w:r w:rsidRPr="0098708A">
        <w:rPr>
          <w:rFonts w:ascii="ＭＳ 明朝" w:hAnsi="ＭＳ 明朝"/>
          <w:szCs w:val="21"/>
        </w:rPr>
        <w:t>行為形態から明らかにすることは、ほとんど不可能であろう。</w:t>
      </w:r>
      <w:r w:rsidRPr="0098708A">
        <w:rPr>
          <w:rFonts w:ascii="ＭＳ 明朝" w:hAnsi="ＭＳ 明朝" w:hint="eastAsia"/>
          <w:szCs w:val="21"/>
        </w:rPr>
        <w:t>不公正な取引方法における拘束条件付取引の「拘束」も同様であって、どのような拘束がそれぞれの要件に当たるかを、行為形態から限定することはできない。</w:t>
      </w:r>
    </w:p>
    <w:p w:rsidR="0044525C" w:rsidRPr="0098708A" w:rsidRDefault="00ED0777" w:rsidP="0044525C">
      <w:pPr>
        <w:ind w:firstLineChars="100" w:firstLine="210"/>
        <w:rPr>
          <w:rFonts w:ascii="ＭＳ 明朝" w:hAnsi="ＭＳ 明朝"/>
          <w:szCs w:val="21"/>
        </w:rPr>
      </w:pPr>
      <w:r>
        <w:rPr>
          <w:rFonts w:ascii="ＭＳ 明朝" w:hAnsi="ＭＳ 明朝"/>
          <w:szCs w:val="21"/>
        </w:rPr>
        <w:t>欧米競争法においても、複数の取引事業者間の共同行為</w:t>
      </w:r>
      <w:r w:rsidR="0044525C" w:rsidRPr="0098708A">
        <w:rPr>
          <w:rFonts w:ascii="ＭＳ 明朝" w:hAnsi="ＭＳ 明朝"/>
          <w:szCs w:val="21"/>
        </w:rPr>
        <w:t>をカルテルとするだけであって、競争事業者間などという条件はない</w:t>
      </w:r>
      <w:r w:rsidR="0044525C" w:rsidRPr="0098708A">
        <w:rPr>
          <w:rFonts w:ascii="ＭＳ 明朝" w:hAnsi="ＭＳ 明朝" w:hint="eastAsia"/>
          <w:szCs w:val="21"/>
        </w:rPr>
        <w:t>し、どのような形態の行為かという限定が（文言や解釈によって）前もって示されているわけではなく</w:t>
      </w:r>
      <w:r w:rsidR="0044525C" w:rsidRPr="0098708A">
        <w:rPr>
          <w:rFonts w:ascii="ＭＳ 明朝" w:hAnsi="ＭＳ 明朝"/>
          <w:szCs w:val="21"/>
        </w:rPr>
        <w:t>、反競争的効果という点で絞るほかはない。</w:t>
      </w:r>
    </w:p>
    <w:p w:rsidR="0044525C" w:rsidRPr="0098708A" w:rsidRDefault="0044525C" w:rsidP="0044525C">
      <w:pPr>
        <w:ind w:firstLineChars="100" w:firstLine="210"/>
        <w:rPr>
          <w:rFonts w:ascii="ＭＳ 明朝" w:hAnsi="ＭＳ 明朝"/>
          <w:szCs w:val="21"/>
        </w:rPr>
      </w:pPr>
      <w:r w:rsidRPr="0098708A">
        <w:rPr>
          <w:rFonts w:ascii="ＭＳ 明朝" w:hAnsi="ＭＳ 明朝" w:hint="eastAsia"/>
          <w:szCs w:val="21"/>
        </w:rPr>
        <w:lastRenderedPageBreak/>
        <w:t>すなわち、日本の独禁法の下で</w:t>
      </w:r>
      <w:r w:rsidRPr="0098708A">
        <w:rPr>
          <w:rFonts w:ascii="ＭＳ 明朝" w:hAnsi="ＭＳ 明朝"/>
          <w:szCs w:val="21"/>
        </w:rPr>
        <w:t>「縦のカルテル」を認める</w:t>
      </w:r>
      <w:r w:rsidRPr="0098708A">
        <w:rPr>
          <w:rFonts w:ascii="ＭＳ 明朝" w:hAnsi="ＭＳ 明朝" w:hint="eastAsia"/>
          <w:szCs w:val="21"/>
        </w:rPr>
        <w:t>として、その要件は、行為要件としての</w:t>
      </w:r>
      <w:r w:rsidRPr="0098708A">
        <w:rPr>
          <w:rFonts w:ascii="ＭＳ 明朝" w:hAnsi="ＭＳ 明朝"/>
          <w:szCs w:val="21"/>
        </w:rPr>
        <w:t>「相互拘束」</w:t>
      </w:r>
      <w:r w:rsidR="008A6CB3">
        <w:rPr>
          <w:rFonts w:ascii="ＭＳ 明朝" w:hAnsi="ＭＳ 明朝" w:hint="eastAsia"/>
          <w:szCs w:val="21"/>
        </w:rPr>
        <w:t>ではなく、</w:t>
      </w:r>
      <w:r w:rsidRPr="0098708A">
        <w:rPr>
          <w:rFonts w:ascii="ＭＳ 明朝" w:hAnsi="ＭＳ 明朝" w:hint="eastAsia"/>
          <w:szCs w:val="21"/>
        </w:rPr>
        <w:t>「競争の実質的制限」</w:t>
      </w:r>
      <w:r w:rsidR="00ED0777">
        <w:rPr>
          <w:rFonts w:ascii="ＭＳ 明朝" w:hAnsi="ＭＳ 明朝" w:hint="eastAsia"/>
          <w:szCs w:val="21"/>
        </w:rPr>
        <w:t>に当たるかどうかということによって、対象を絞ることができるし、それで十分であると考えられる。</w:t>
      </w:r>
    </w:p>
    <w:p w:rsidR="0044525C" w:rsidRPr="0098708A" w:rsidRDefault="0044525C" w:rsidP="0044525C">
      <w:pPr>
        <w:rPr>
          <w:rFonts w:ascii="ＭＳ 明朝" w:hAnsi="ＭＳ 明朝"/>
          <w:szCs w:val="21"/>
        </w:rPr>
      </w:pPr>
    </w:p>
    <w:p w:rsidR="009474E8" w:rsidRPr="0044525C" w:rsidRDefault="00AD0EA8"/>
    <w:sectPr w:rsidR="009474E8" w:rsidRPr="00445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A8" w:rsidRDefault="00AD0EA8" w:rsidP="0044525C">
      <w:r>
        <w:separator/>
      </w:r>
    </w:p>
  </w:endnote>
  <w:endnote w:type="continuationSeparator" w:id="0">
    <w:p w:rsidR="00AD0EA8" w:rsidRDefault="00AD0EA8" w:rsidP="0044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A8" w:rsidRDefault="00AD0EA8" w:rsidP="0044525C">
      <w:r>
        <w:separator/>
      </w:r>
    </w:p>
  </w:footnote>
  <w:footnote w:type="continuationSeparator" w:id="0">
    <w:p w:rsidR="00AD0EA8" w:rsidRDefault="00AD0EA8" w:rsidP="00445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227B"/>
    <w:multiLevelType w:val="hybridMultilevel"/>
    <w:tmpl w:val="AACA95A4"/>
    <w:lvl w:ilvl="0" w:tplc="814A6DEE">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EF7580C"/>
    <w:multiLevelType w:val="hybridMultilevel"/>
    <w:tmpl w:val="859C557E"/>
    <w:lvl w:ilvl="0" w:tplc="4DF6309E">
      <w:start w:val="1"/>
      <w:numFmt w:val="decimalEnclosedCircle"/>
      <w:lvlText w:val="%1"/>
      <w:lvlJc w:val="left"/>
      <w:pPr>
        <w:ind w:left="600" w:hanging="360"/>
      </w:pPr>
      <w:rPr>
        <w:rFont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5C"/>
    <w:rsid w:val="001209B5"/>
    <w:rsid w:val="00280567"/>
    <w:rsid w:val="0044525C"/>
    <w:rsid w:val="00541317"/>
    <w:rsid w:val="005F5D9C"/>
    <w:rsid w:val="00866096"/>
    <w:rsid w:val="008A6CB3"/>
    <w:rsid w:val="0092264E"/>
    <w:rsid w:val="00AD0EA8"/>
    <w:rsid w:val="00B56BA7"/>
    <w:rsid w:val="00D26E3A"/>
    <w:rsid w:val="00ED0777"/>
    <w:rsid w:val="00EE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5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4525C"/>
    <w:pPr>
      <w:keepNext/>
      <w:outlineLvl w:val="0"/>
    </w:pPr>
    <w:rPr>
      <w:rFonts w:ascii="Arial" w:eastAsia="ＭＳ ゴシック" w:hAnsi="Arial"/>
      <w:sz w:val="24"/>
    </w:rPr>
  </w:style>
  <w:style w:type="paragraph" w:styleId="2">
    <w:name w:val="heading 2"/>
    <w:basedOn w:val="a"/>
    <w:next w:val="a"/>
    <w:link w:val="20"/>
    <w:qFormat/>
    <w:rsid w:val="0044525C"/>
    <w:pPr>
      <w:keepNext/>
      <w:widowControl/>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525C"/>
    <w:rPr>
      <w:rFonts w:ascii="Arial" w:eastAsia="ＭＳ ゴシック" w:hAnsi="Arial" w:cs="Times New Roman"/>
      <w:sz w:val="24"/>
      <w:szCs w:val="24"/>
    </w:rPr>
  </w:style>
  <w:style w:type="character" w:customStyle="1" w:styleId="20">
    <w:name w:val="見出し 2 (文字)"/>
    <w:basedOn w:val="a0"/>
    <w:link w:val="2"/>
    <w:rsid w:val="0044525C"/>
    <w:rPr>
      <w:rFonts w:ascii="Arial" w:eastAsia="ＭＳ ゴシック" w:hAnsi="Arial" w:cs="Times New Roman"/>
      <w:szCs w:val="24"/>
    </w:rPr>
  </w:style>
  <w:style w:type="paragraph" w:styleId="a3">
    <w:name w:val="endnote text"/>
    <w:basedOn w:val="a"/>
    <w:link w:val="a4"/>
    <w:semiHidden/>
    <w:rsid w:val="0044525C"/>
    <w:pPr>
      <w:widowControl/>
      <w:snapToGrid w:val="0"/>
      <w:jc w:val="left"/>
    </w:pPr>
  </w:style>
  <w:style w:type="character" w:customStyle="1" w:styleId="a4">
    <w:name w:val="文末脚注文字列 (文字)"/>
    <w:basedOn w:val="a0"/>
    <w:link w:val="a3"/>
    <w:semiHidden/>
    <w:rsid w:val="0044525C"/>
    <w:rPr>
      <w:rFonts w:ascii="Century" w:eastAsia="ＭＳ 明朝" w:hAnsi="Century" w:cs="Times New Roman"/>
      <w:szCs w:val="24"/>
    </w:rPr>
  </w:style>
  <w:style w:type="character" w:styleId="a5">
    <w:name w:val="endnote reference"/>
    <w:semiHidden/>
    <w:rsid w:val="0044525C"/>
    <w:rPr>
      <w:vertAlign w:val="superscript"/>
    </w:rPr>
  </w:style>
  <w:style w:type="character" w:styleId="a6">
    <w:name w:val="Hyperlink"/>
    <w:uiPriority w:val="99"/>
    <w:unhideWhenUsed/>
    <w:rsid w:val="0044525C"/>
    <w:rPr>
      <w:color w:val="0563C1"/>
      <w:u w:val="single"/>
    </w:rPr>
  </w:style>
  <w:style w:type="paragraph" w:styleId="a7">
    <w:name w:val="footnote text"/>
    <w:basedOn w:val="a"/>
    <w:link w:val="a8"/>
    <w:uiPriority w:val="99"/>
    <w:semiHidden/>
    <w:unhideWhenUsed/>
    <w:rsid w:val="0044525C"/>
    <w:pPr>
      <w:snapToGrid w:val="0"/>
      <w:jc w:val="left"/>
    </w:pPr>
  </w:style>
  <w:style w:type="character" w:customStyle="1" w:styleId="a8">
    <w:name w:val="脚注文字列 (文字)"/>
    <w:basedOn w:val="a0"/>
    <w:link w:val="a7"/>
    <w:uiPriority w:val="99"/>
    <w:semiHidden/>
    <w:rsid w:val="0044525C"/>
    <w:rPr>
      <w:rFonts w:ascii="Century" w:eastAsia="ＭＳ 明朝" w:hAnsi="Century" w:cs="Times New Roman"/>
      <w:szCs w:val="24"/>
    </w:rPr>
  </w:style>
  <w:style w:type="character" w:styleId="a9">
    <w:name w:val="footnote reference"/>
    <w:uiPriority w:val="99"/>
    <w:semiHidden/>
    <w:unhideWhenUsed/>
    <w:rsid w:val="0044525C"/>
    <w:rPr>
      <w:vertAlign w:val="superscript"/>
    </w:rPr>
  </w:style>
  <w:style w:type="paragraph" w:styleId="aa">
    <w:name w:val="header"/>
    <w:basedOn w:val="a"/>
    <w:link w:val="ab"/>
    <w:uiPriority w:val="99"/>
    <w:unhideWhenUsed/>
    <w:rsid w:val="00ED0777"/>
    <w:pPr>
      <w:tabs>
        <w:tab w:val="center" w:pos="4252"/>
        <w:tab w:val="right" w:pos="8504"/>
      </w:tabs>
      <w:snapToGrid w:val="0"/>
    </w:pPr>
  </w:style>
  <w:style w:type="character" w:customStyle="1" w:styleId="ab">
    <w:name w:val="ヘッダー (文字)"/>
    <w:basedOn w:val="a0"/>
    <w:link w:val="aa"/>
    <w:uiPriority w:val="99"/>
    <w:rsid w:val="00ED0777"/>
    <w:rPr>
      <w:rFonts w:ascii="Century" w:eastAsia="ＭＳ 明朝" w:hAnsi="Century" w:cs="Times New Roman"/>
      <w:szCs w:val="24"/>
    </w:rPr>
  </w:style>
  <w:style w:type="paragraph" w:styleId="ac">
    <w:name w:val="footer"/>
    <w:basedOn w:val="a"/>
    <w:link w:val="ad"/>
    <w:uiPriority w:val="99"/>
    <w:unhideWhenUsed/>
    <w:rsid w:val="00ED0777"/>
    <w:pPr>
      <w:tabs>
        <w:tab w:val="center" w:pos="4252"/>
        <w:tab w:val="right" w:pos="8504"/>
      </w:tabs>
      <w:snapToGrid w:val="0"/>
    </w:pPr>
  </w:style>
  <w:style w:type="character" w:customStyle="1" w:styleId="ad">
    <w:name w:val="フッター (文字)"/>
    <w:basedOn w:val="a0"/>
    <w:link w:val="ac"/>
    <w:uiPriority w:val="99"/>
    <w:rsid w:val="00ED077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5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4525C"/>
    <w:pPr>
      <w:keepNext/>
      <w:outlineLvl w:val="0"/>
    </w:pPr>
    <w:rPr>
      <w:rFonts w:ascii="Arial" w:eastAsia="ＭＳ ゴシック" w:hAnsi="Arial"/>
      <w:sz w:val="24"/>
    </w:rPr>
  </w:style>
  <w:style w:type="paragraph" w:styleId="2">
    <w:name w:val="heading 2"/>
    <w:basedOn w:val="a"/>
    <w:next w:val="a"/>
    <w:link w:val="20"/>
    <w:qFormat/>
    <w:rsid w:val="0044525C"/>
    <w:pPr>
      <w:keepNext/>
      <w:widowControl/>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525C"/>
    <w:rPr>
      <w:rFonts w:ascii="Arial" w:eastAsia="ＭＳ ゴシック" w:hAnsi="Arial" w:cs="Times New Roman"/>
      <w:sz w:val="24"/>
      <w:szCs w:val="24"/>
    </w:rPr>
  </w:style>
  <w:style w:type="character" w:customStyle="1" w:styleId="20">
    <w:name w:val="見出し 2 (文字)"/>
    <w:basedOn w:val="a0"/>
    <w:link w:val="2"/>
    <w:rsid w:val="0044525C"/>
    <w:rPr>
      <w:rFonts w:ascii="Arial" w:eastAsia="ＭＳ ゴシック" w:hAnsi="Arial" w:cs="Times New Roman"/>
      <w:szCs w:val="24"/>
    </w:rPr>
  </w:style>
  <w:style w:type="paragraph" w:styleId="a3">
    <w:name w:val="endnote text"/>
    <w:basedOn w:val="a"/>
    <w:link w:val="a4"/>
    <w:semiHidden/>
    <w:rsid w:val="0044525C"/>
    <w:pPr>
      <w:widowControl/>
      <w:snapToGrid w:val="0"/>
      <w:jc w:val="left"/>
    </w:pPr>
  </w:style>
  <w:style w:type="character" w:customStyle="1" w:styleId="a4">
    <w:name w:val="文末脚注文字列 (文字)"/>
    <w:basedOn w:val="a0"/>
    <w:link w:val="a3"/>
    <w:semiHidden/>
    <w:rsid w:val="0044525C"/>
    <w:rPr>
      <w:rFonts w:ascii="Century" w:eastAsia="ＭＳ 明朝" w:hAnsi="Century" w:cs="Times New Roman"/>
      <w:szCs w:val="24"/>
    </w:rPr>
  </w:style>
  <w:style w:type="character" w:styleId="a5">
    <w:name w:val="endnote reference"/>
    <w:semiHidden/>
    <w:rsid w:val="0044525C"/>
    <w:rPr>
      <w:vertAlign w:val="superscript"/>
    </w:rPr>
  </w:style>
  <w:style w:type="character" w:styleId="a6">
    <w:name w:val="Hyperlink"/>
    <w:uiPriority w:val="99"/>
    <w:unhideWhenUsed/>
    <w:rsid w:val="0044525C"/>
    <w:rPr>
      <w:color w:val="0563C1"/>
      <w:u w:val="single"/>
    </w:rPr>
  </w:style>
  <w:style w:type="paragraph" w:styleId="a7">
    <w:name w:val="footnote text"/>
    <w:basedOn w:val="a"/>
    <w:link w:val="a8"/>
    <w:uiPriority w:val="99"/>
    <w:semiHidden/>
    <w:unhideWhenUsed/>
    <w:rsid w:val="0044525C"/>
    <w:pPr>
      <w:snapToGrid w:val="0"/>
      <w:jc w:val="left"/>
    </w:pPr>
  </w:style>
  <w:style w:type="character" w:customStyle="1" w:styleId="a8">
    <w:name w:val="脚注文字列 (文字)"/>
    <w:basedOn w:val="a0"/>
    <w:link w:val="a7"/>
    <w:uiPriority w:val="99"/>
    <w:semiHidden/>
    <w:rsid w:val="0044525C"/>
    <w:rPr>
      <w:rFonts w:ascii="Century" w:eastAsia="ＭＳ 明朝" w:hAnsi="Century" w:cs="Times New Roman"/>
      <w:szCs w:val="24"/>
    </w:rPr>
  </w:style>
  <w:style w:type="character" w:styleId="a9">
    <w:name w:val="footnote reference"/>
    <w:uiPriority w:val="99"/>
    <w:semiHidden/>
    <w:unhideWhenUsed/>
    <w:rsid w:val="0044525C"/>
    <w:rPr>
      <w:vertAlign w:val="superscript"/>
    </w:rPr>
  </w:style>
  <w:style w:type="paragraph" w:styleId="aa">
    <w:name w:val="header"/>
    <w:basedOn w:val="a"/>
    <w:link w:val="ab"/>
    <w:uiPriority w:val="99"/>
    <w:unhideWhenUsed/>
    <w:rsid w:val="00ED0777"/>
    <w:pPr>
      <w:tabs>
        <w:tab w:val="center" w:pos="4252"/>
        <w:tab w:val="right" w:pos="8504"/>
      </w:tabs>
      <w:snapToGrid w:val="0"/>
    </w:pPr>
  </w:style>
  <w:style w:type="character" w:customStyle="1" w:styleId="ab">
    <w:name w:val="ヘッダー (文字)"/>
    <w:basedOn w:val="a0"/>
    <w:link w:val="aa"/>
    <w:uiPriority w:val="99"/>
    <w:rsid w:val="00ED0777"/>
    <w:rPr>
      <w:rFonts w:ascii="Century" w:eastAsia="ＭＳ 明朝" w:hAnsi="Century" w:cs="Times New Roman"/>
      <w:szCs w:val="24"/>
    </w:rPr>
  </w:style>
  <w:style w:type="paragraph" w:styleId="ac">
    <w:name w:val="footer"/>
    <w:basedOn w:val="a"/>
    <w:link w:val="ad"/>
    <w:uiPriority w:val="99"/>
    <w:unhideWhenUsed/>
    <w:rsid w:val="00ED0777"/>
    <w:pPr>
      <w:tabs>
        <w:tab w:val="center" w:pos="4252"/>
        <w:tab w:val="right" w:pos="8504"/>
      </w:tabs>
      <w:snapToGrid w:val="0"/>
    </w:pPr>
  </w:style>
  <w:style w:type="character" w:customStyle="1" w:styleId="ad">
    <w:name w:val="フッター (文字)"/>
    <w:basedOn w:val="a0"/>
    <w:link w:val="ac"/>
    <w:uiPriority w:val="99"/>
    <w:rsid w:val="00ED077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to.dti.ne.jp/~funad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 Masayuki</dc:creator>
  <cp:lastModifiedBy>Funada Masayuki</cp:lastModifiedBy>
  <cp:revision>5</cp:revision>
  <dcterms:created xsi:type="dcterms:W3CDTF">2018-03-21T01:35:00Z</dcterms:created>
  <dcterms:modified xsi:type="dcterms:W3CDTF">2018-04-01T07:10:00Z</dcterms:modified>
</cp:coreProperties>
</file>